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拖期项目数量为8个，占比5%，表明大部分项目的执行进度较为理想。重点跟踪的项目共有30个，占总项目数的19%。</w:t>
      </w:r>
    </w:p>
    <w:p>
      <w:pPr>
        <w:ind w:firstLine="400"/>
        <w:jc w:val="both"/>
      </w:pPr>
      <w:r>
        <w:t>从项目来源看，内部发起的项目占60%，外部合作项目占40%，显示出公司在保持自主创新能力的同时，也在积极寻求与外部合作伙伴的合作机会。在负责单位方面，201和202两个单位分别承担了35个和40个项目，是主要的责任方。</w:t>
      </w:r>
    </w:p>
    <w:p>
      <w:pPr>
        <w:ind w:firstLine="400"/>
        <w:jc w:val="both"/>
      </w:pPr>
      <w:r>
        <w:t>总体来看，公司2024年的项目管理表现出较高的效率和执行率，特别是在研发类项目的资金投入上，显示出对技术创新的高度重视。同时，环保类项目的增加也体现了公司在可持续发展方面的战略部署。</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值得注意的是，尽管环保类项目的数量较少，但其较高的平均执行率（92%）表明这些项目在实施过程中具有较高的效率和合规性。此外，基础设施类项目的执行率略低于其他两类，可能需要进一步分析以确定是否存在资源分配或管理上的问题。</w:t>
      </w:r>
    </w:p>
    <w:p>
      <w:pPr>
        <w:ind w:firstLine="400"/>
        <w:jc w:val="both"/>
      </w:pPr>
      <w:r>
        <w:t>总体来看，公司通过合理配置各类项目资金，确保了战略目标的实现，并且在提高运营效率、增强合规性和推动可持续发展方面取得了显著成效。</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203的执行率为78%，低于平均值。此外，值得注意的是，环保类项目的资金执行比例虽然较低，但在其项目数量较少的情况下，仍保持了较高的执行率，表明在有限的资金支持下，这些项目能够高效地完成既定目标。</w:t>
      </w:r>
    </w:p>
    <w:p>
      <w:pPr>
        <w:ind w:firstLine="400"/>
        <w:jc w:val="both"/>
      </w:pPr>
      <w:r>
        <w:t>从战略角度来看，研发和基础设施类项目的高执行率反映了组织对技术创新和基础建设的重视。同时，环保类项目的良好表现也体现了公司在可持续发展方面的努力与成效。未来应继续关注各类型项目的资金使用效率，并确保所有单位都能达到或超过平均执行标准，以进一步提升整体运营效能和战略目标的一致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重点跟踪项目共20个，新增项目数量为30个，拖期项目数量为7个。</w:t>
      </w:r>
    </w:p>
    <w:p>
      <w:pPr>
        <w:ind w:firstLine="400"/>
        <w:jc w:val="both"/>
      </w:pPr>
      <w:r>
        <w:t>在项目来源方面，内部发起项目占比40%，外部合作项目占比60%。负责单位中，单位201承担了30个项目，占总项目的19.2%，执行率为88%；单位202承担了25个项目，占总项目的16.1%，执行率为82%。</w:t>
      </w:r>
    </w:p>
    <w:p>
      <w:pPr>
        <w:ind w:firstLine="400"/>
        <w:jc w:val="both"/>
      </w:pPr>
      <w:r>
        <w:t>报告总结：2024年项目管理总体表现良好，研发类和环保类项目数量显著增加，体现了公司在技术创新和可持续发展方面的战略重点。资金使用效率较高，但仍有部分单位的执行率低于平均水平，需进一步优化资源配置与管理流程以提高整体执行效果。</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