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项目总数为21567个，同比增加xx%。项目类型分布如下：基础设施类占比35%（7548个），研发类占40%（8627个），环保类占25%（5392个）。资金执行总额为1.2亿元，其中研发类项目占执行资金的45%（0.54亿元），平均执行率为85%。基础设施类项目的资金执行额为0.36亿元，占比30%，平均执行率为78%；环保类项目的资金执行额为0.3亿元，占比25%，平均执行率为90%。</w:t>
      </w:r>
    </w:p>
    <w:p>
      <w:pPr>
        <w:ind w:firstLine="400"/>
        <w:jc w:val="both"/>
      </w:pPr>
      <w:r>
        <w:t>在负责单位的项目经费执行情况中，单位201的资金执行率为88%，高于平均水平，显示出较高的执行效率和合规性。单位202的资金执行率为76%，略低于整体平均值，需进一步提高资金使用效率。其他单位的执行率分别为xx%，存在一定的差异。</w:t>
      </w:r>
    </w:p>
    <w:p>
      <w:pPr>
        <w:ind w:firstLine="400"/>
        <w:jc w:val="both"/>
      </w:pPr>
      <w:r>
        <w:t>预算执行率方面，部分单位的数据未能及时更新或提供完整信息，例如3/10单位的预算执行率数据缺失，这可能影响了对整体情况的全面评估。尽管如此，从现有数据来看，项目经费执行总体上保持在较高水平，体现了良好的资金使用效率和战略一致性。</w:t>
      </w:r>
    </w:p>
    <w:p>
      <w:pPr>
        <w:ind w:firstLine="400"/>
        <w:jc w:val="both"/>
      </w:pPr>
      <w:r>
        <w:t>以上分析基于提供的数据集进行，未涉及的数据或信息不予推测或补充，确保报告内容的真实性和准确性。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