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所有立项项目中，新增项目数量达到100个，同比增加10%，显示出公司在扩大业务规模和探索新领域的积极态势。拖期项目数量为8个，占比5%，表明大部分项目的执行进度较为理想。重点跟踪的项目有30个，占总项目数的19%。</w:t>
      </w:r>
    </w:p>
    <w:p>
      <w:pPr>
        <w:ind w:firstLine="400"/>
        <w:jc w:val="both"/>
      </w:pPr>
      <w:r>
        <w:t>从项目来源看，内部发起的项目占60%，外部合作项目占40%，显示出公司在保持自主创新能力的同时，也在积极寻求与外部合作伙伴的战略协作机会。在负责单位方面，201和202单位分别承担了35个和40个项目，是主要的责任方。</w:t>
      </w:r>
    </w:p>
    <w:p>
      <w:pPr>
        <w:ind w:firstLine="400"/>
        <w:jc w:val="both"/>
      </w:pPr>
      <w:r>
        <w:t>总体来看，公司2024年的项目管理表现出较高的效率和执行率，特别是在研发类项目的资金投入上，显示出对技术创新的高度重视。同时，环保类项目的增加也体现了公司在可持续发展方面的战略部署。</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较高的资金执行率显示了公司对可持续发展的重视程度。从单位承诺情况来看，各单位均按计划推进项目实施，其中201单位负责的项目在资金使用效率上表现突出。</w:t>
      </w:r>
    </w:p>
    <w:p>
      <w:pPr>
        <w:ind w:firstLine="400"/>
        <w:jc w:val="both"/>
      </w:pPr>
      <w:r>
        <w:t>值得注意的是，尽管整体趋势向好，但在部分单位中仍存在预算执行不均衡的现象，例如3/10单位的预算执行率低于平均水平，需进一步分析原因并采取措施优化资源配置。</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w:t>
      </w:r>
    </w:p>
    <w:p>
      <w:pPr>
        <w:ind w:firstLine="400"/>
        <w:jc w:val="both"/>
      </w:pPr>
      <w:r>
        <w:t>在负责单位方面，单位201的资金执行情况较好，其研发项目的执行率达到95%，基础设施项目的执行率达到了88%，而环保项目的执行率为78%。单位202的研发项目执行率为85%，基础设施项目为83%，环保项目则为76%。其他单位的平均执行率分别为：研发类88%，基础设施类84%，环保类79%。</w:t>
      </w:r>
    </w:p>
    <w:p>
      <w:pPr>
        <w:ind w:firstLine="400"/>
        <w:jc w:val="both"/>
      </w:pPr>
      <w:r>
        <w:t>从资金使用效率来看，研发类项目的高执行率表明了其在技术创新和产品开发方面的高效投入产出比。基础设施类项目的较高执行率反映了公司在提升运营能力和扩大生产规模上的稳健投资策略。环保类项目虽然执行率相对较低，但考虑到此类项目通常具有较长的实施周期和复杂性，当前的执行情况仍处于合理范围内。</w:t>
      </w:r>
    </w:p>
    <w:p>
      <w:pPr>
        <w:ind w:firstLine="400"/>
        <w:jc w:val="both"/>
      </w:pPr>
      <w:r>
        <w:t>此外，所有单位均符合预算管理规定，未发现资金使用违规现象，表明公司整体在财务合规性和风险控制方面表现良好。然而，值得注意的是，尽管环保类项目的平均执行率较低，但其对于公司的长期可持续发展具有重要意义，建议在未来年度中进一步优化资源配置和项目实施策略以提高该类型项目的执行效率。</w:t>
      </w:r>
    </w:p>
    <w:p>
      <w:pPr>
        <w:ind w:firstLine="400"/>
        <w:jc w:val="both"/>
      </w:pPr>
      <w:r>
        <w:t>综上所述，2024年公司在项目经费执行情况上总体表现出色，特别是在研发和基础设施建设方面取得了显著成效。未来应继续关注环保类项目的进展，并通过持续改进资金管理流程来提升整体运营效率和战略一致性。</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涉火项目占比29%（45个），重点跟踪项目占比18%（28个），新增项目占比16%（25个）。资金执行总额为10.5亿元，其中型号研制类项目占执行资金的42%（4.4亿元），平均执行率为78%。涉火项目的资金执行率为73%，重点跟踪项目的资金执行率为85%，新增项目的资金执行率为69%。</w:t>
      </w:r>
    </w:p>
    <w:p>
      <w:pPr>
        <w:ind w:firstLine="400"/>
        <w:jc w:val="both"/>
      </w:pPr>
      <w:r>
        <w:t>在负责单位承诺方面，单位201、202及其他单位均按时提交了项目进展报告，并完成了年度目标的80%以上。其中，单位201完成率最高，达到92%，而单位202为75%。重点跟踪项目的执行情况较好，但新增项目和拖期项目的执行情况仍需进一步改善。</w:t>
      </w:r>
    </w:p>
    <w:p>
      <w:pPr>
        <w:ind w:firstLine="400"/>
        <w:jc w:val="both"/>
      </w:pPr>
      <w:r>
        <w:t>业务价值方面，通过优化资源配置和提高资金使用效率，整体项目执行效果显著提升，特别是在型号研制类项目中表现突出，有效推动了公司的技术创新与市场竞争力的增强。此外，涉火项目在确保安全生产的同时，也促进了公司内部管理流程的合规性改进。</w:t>
      </w:r>
    </w:p>
    <w:p>
      <w:pPr>
        <w:ind w:firstLine="400"/>
        <w:jc w:val="both"/>
      </w:pPr>
      <w:r>
        <w:t>需要注意的是，预算执行率数据对于3/10单位仍不可用，这可能影响整体评估的准确性。未来应进一步加强数据收集和分析能力，以提高报告的全面性和精确度。</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