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项目来源总体情况显示，总项目数量为145个。</w:t>
      </w:r>
    </w:p>
    <w:p>
      <w:r>
        <w:t>体概况分</w:t>
      </w:r>
    </w:p>
    <w:p>
      <w:pPr>
        <w:pStyle w:val="ListBullet"/>
      </w:pPr>
      <w:r>
        <w:t>正在执行的项目总数为67个。</w:t>
      </w:r>
    </w:p>
    <w:p>
      <w:pPr>
        <w:pStyle w:val="ListBullet"/>
      </w:pPr>
      <w:r>
        <w:t>型号研制项目总计13个。</w:t>
      </w:r>
    </w:p>
    <w:p>
      <w:pPr>
        <w:pStyle w:val="ListBullet"/>
      </w:pPr>
      <w:r>
        <w:t>涉火项目总计62个。</w:t>
      </w:r>
    </w:p>
    <w:p>
      <w:pPr>
        <w:pStyle w:val="ListBullet"/>
      </w:pPr>
      <w:r>
        <w:t>重点跟踪项目有1个。</w:t>
      </w:r>
    </w:p>
    <w:p>
      <w:pPr>
        <w:pStyle w:val="ListBullet"/>
      </w:pPr>
      <w:r>
        <w:t>新增项目数量总计145个。</w:t>
      </w:r>
    </w:p>
    <w:p>
      <w:pPr>
        <w:pStyle w:val="ListBullet"/>
      </w:pPr>
      <w:r>
        <w:t>拖期项目数量为14个。</w:t>
      </w:r>
    </w:p>
    <w:p>
      <w:r>
        <w:t>目数量为1</w:t>
      </w:r>
    </w:p>
    <w:p>
      <w:r>
        <w:t>源总体情况显示，总项目数量为1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