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显示有1个正在执行的项目，这同样也是新增的项目数量。型号研制项目有1个，而涉火项目及重点跟踪项目数量为0。值得注意的是，有1个项目处于拖期状态，需要特别关注。总体来看，当前项目管理状态显示为1个项目正在推进中，但拖期情况提示我们需要加强项目进度控制。</w:t>
      </w:r>
      <w:r>
        <w:rPr>
          <w:b/>
        </w:rPr>
        <w:t>项目来源情况</w:t>
        <w:t>根据数据库数据，我们只有一个项目来源情况，那就是'01-项目基本信息'，其数量为1。这表明我们目前所有的项目都来源于基本信息的建立。合计项目数量也是1，与上述信息相符。</w:t>
      </w:r>
      <w:r>
        <w:rPr>
          <w:b/>
        </w:rPr>
        <w:t>责任单位任务承担情况</w:t>
        <w:t>从统计数据来看，军委机关是唯一的责任单位，承担了全部的任务，价值为1。而各兵种及其他、国家部委、集团公司、其他军工集团、地方科研院所和高校、地方企事业单位等单位的任务承担值均为0，没有参与任务的承担。合计值为1，与军委机关的承担值相符。</w:t>
      </w:r>
      <w:r>
        <w:rPr>
          <w:b/>
        </w:rPr>
        <w:t>项目经费执行情况</w:t>
        <w:t>项目经费执行情况总结如下：军委机关的经费执行总额为110，占据了全部执行经费的全部比例。而各兵种及其他、国家部委、集团公司、其他军工集团、地方科研院所和高校、地方企事业单位的经费执行额均为0，未有经费执行记录。合计执行经费总额为110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