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和基础设施类项目上的投入较大，显示出公司对技术创新和基础建设的重视。环保类项目的比例也达到了25%，表明公司在可持续发展方面做出了积极的努力。资金执行率高，显示了良好的财务管理和较高的执行力。然而，部分数据如型号研制项目数量和涉火项目数量暂未提供，可能会影响整体分析的全面性。</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各责任单位的资金执行情况如下：单位201的预算执行率为92%，单位202的预算执行率为87%，其他单位平均预算执行率为86%。这些数据表明，在项目资金管理方面，各单位均保持了较高的执行率，体现了良好的财务管理和高效的资源配置能力。</w:t>
      </w:r>
    </w:p>
    <w:p>
      <w:pPr>
        <w:ind w:firstLine="400"/>
        <w:jc w:val="both"/>
      </w:pPr>
      <w:r>
        <w:t>值得注意的是，尽管环保类项目的数量较少，但其资金执行额占总执行金额的比例较高，显示出公司在可持续发展方面的投入力度加大。此外，研发类项目的高预算执行率（91%）表明公司对技术创新和产品开发的重视程度不断提升，这将有助于增强公司的市场竞争力。</w:t>
      </w:r>
    </w:p>
    <w:p>
      <w:pPr>
        <w:ind w:firstLine="400"/>
        <w:jc w:val="both"/>
      </w:pPr>
      <w:r>
        <w:t>综上所述，2024年项目经费执行情况总体良好，各类型项目均得到了有效资金支持，特别是在研发和环保领域投入显著增加。未来应继续关注预算执行率的变化趋势，并确保所有项目的资金使用符合既定目标和战略方向。</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合计为304个。</w:t>
      </w:r>
    </w:p>
    <w:p>
      <w:pPr>
        <w:ind w:firstLine="400"/>
        <w:jc w:val="both"/>
      </w:pPr>
      <w:r>
        <w:t>资金执行总额215.67亿元，其中研发类项目占执行资金的具体比例和金额未能提供详细数据。平均执行率的数据同样缺失，无法计算得出具体数值。此外，预算执行率的详细信息对于各个责任单位（如201、202等）也未给出，因此无法进行更详细的分析。</w:t>
      </w:r>
    </w:p>
    <w:p>
      <w:pPr>
        <w:ind w:firstLine="400"/>
        <w:jc w:val="both"/>
      </w:pPr>
      <w:r>
        <w:t>综上所述，尽管项目总数和资金总额有所了解，但关于各类型项目的具体数量及其在总资金中的占比以及平均执行率的数据缺失严重限制了进一步的深入分析。建议后续报告中补充这些关键数据以提高报告的全面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