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</w:t>
        <w:br/>
        <w:br/>
        <w:t>- 正在执行的项目数量为1个。</w:t>
        <w:br/>
        <w:t>- 型号研制项目同样有1个在进行中。</w:t>
        <w:br/>
        <w:t>- 涉火项目和重点跟踪项目当前数据中未显示有记录。</w:t>
        <w:br/>
        <w:t>- 新增项目数量为1个，表明有新项目启动。</w:t>
        <w:br/>
        <w:t>- 拖期项目有1个，需要关注其进展，确保按时完成。</w:t>
        <w:br/>
        <w:br/>
        <w:t>综上所述，目前有2个项目（包括正在执行和新增）在进行中，需特别注意拖期项目，确保项目顺利推进。</w:t>
      </w:r>
      <w:r>
        <w:rPr>
          <w:b/>
        </w:rPr>
        <w:t>项目来源情况</w:t>
        <w:t>根据数据库的数据分析，我们只有一个项目来源，那就是“01-项目基本信息”，它占据了我们所有项目的100%。这说明我们当前的项目都来源于基本信息的构建，没有其他来源的项目。</w:t>
      </w:r>
      <w:r>
        <w:rPr>
          <w:b/>
        </w:rPr>
        <w:t>责任单位任务承担情况</w:t>
        <w:t>根据数据汇总，军委机关承担了全部的任务，数量为1项。而各兵种及其他、国家部委、集团公司、其他军工集团、地方科研院所和高校、地方企事业单位等单位的任务承担数量均为0，即这些单位目前没有分配到任务。合计任务总数为1项。</w:t>
      </w:r>
      <w:r>
        <w:rPr>
          <w:b/>
        </w:rPr>
        <w:t>项目经费执行情况</w:t>
        <w:t>从项目经费的执行情况来看，军委机关的经费执行达到了110单位，而其他各类单位如各兵种及其他、国家部委、集团公司、其他军工集团、地方科研院所和高校、地方企事业单位的经费执行情况均为0单位。总的来看，项目经费主要集中在军委机关，合计执行了110单位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