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2025年05月15日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156个项目，同比增加8%。项目类型分布：基础设施类占比30%（47个），研发类占45%（70个），环保类占25%（39个）。资金执行总额为1.2亿元，其中研发类项目占执行资金的50%（0.6亿元），平均执行率为85%。基础设施类项目的资金占比为30%（0.36亿元），环保类项目则占20%（0.24亿元）。</w:t>
      </w:r>
    </w:p>
    <w:p>
      <w:pPr>
        <w:ind w:firstLine="400"/>
        <w:jc w:val="both"/>
      </w:pPr>
      <w:r>
        <w:t>在负责单位承诺方面，单位201和202分别承担了其中的40个和30个项目，其余由其他单位分担。重点跟踪项目的数量为25个，新增项目数量达到36个，而拖期项目数量则有8个。项目来源情况显示，内部发起的项目占总数的70%，外部合作项目占比30%。</w:t>
      </w:r>
    </w:p>
    <w:p>
      <w:pPr>
        <w:ind w:firstLine="400"/>
        <w:jc w:val="both"/>
      </w:pPr>
      <w:r>
        <w:t>预算执行方面，尽管整体执行率较高，但仍有部分单位的数据缺失或不完整，例如预算执行率数据在10个单位中仅可获取7个单位的信息。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368个项目，同比增加12%。项目类型分布：基础设施类占比35%（129个），研发类占40%（147个），环保类占25%（92个）。资金执行总额为1.8亿元，其中研发类项目占执行资金的45%（0.81亿元），平均执行率为86%。基础设施类项目的资金占比为30%（0.54亿元），平均执行率为78%，环保类项目资金占比为25%（0.45亿元），平均执行率为92%。</w:t>
      </w:r>
    </w:p>
    <w:p>
      <w:pPr>
        <w:ind w:firstLine="400"/>
        <w:jc w:val="both"/>
      </w:pPr>
      <w:r>
        <w:t>在项目来源方面，研发类和基础设施类项目数量较多，表明公司在技术创新和基础建设方面的持续投入。环保类项目的比例虽然较低，但其较高的资金执行率显示了公司对可持续发展的重视程度。从整体来看，各类型项目的分布合理，符合公司的战略规划和发展目标。此外，高平均执行率反映了公司在项目管理和资源分配上的高效性，有助于确保各项业务的顺利推进和合规运营。</w:t>
      </w:r>
    </w:p>
    <w:p>
      <w:pPr>
        <w:ind w:firstLine="400"/>
        <w:jc w:val="both"/>
      </w:pPr>
      <w:r>
        <w:t>值得注意的是，尽管研发类项目数量最多且资金投入较大，但其执行率略低于环保类项目，这可能需要进一步分析以优化资源配置和管理流程。同时，基础设施项目的执行率相对较低，可能是由于建设周期较长或受外部因素影响所致，需持续关注并采取相应措施提高效率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2024年共立项36个项目，同比增加18%。项目类型分布：基础设施类占比30.56%（11个），研发类占47.22%（17个），环保类占22.22%（8个）。责任单位任务承担情况如下：</w:t>
      </w:r>
    </w:p>
    <w:p>
      <w:pPr>
        <w:ind w:firstLine="400"/>
        <w:jc w:val="both"/>
      </w:pPr>
      <w:r>
        <w:t>责任单位201共承担了9个项目，其中基础设施项目3个，研发项目4个，环保项目2个。该单位执行资金总额为0.6亿元，平均执行率为85%，其中研发类项目占执行资金的70%（0.42亿元）。</w:t>
      </w:r>
    </w:p>
    <w:p>
      <w:pPr>
        <w:ind w:firstLine="400"/>
        <w:jc w:val="both"/>
      </w:pPr>
      <w:r>
        <w:t>责任单位202共承担了10个项目，包括基础设施项目4个，研发项目3个，环保项目3个。该单位执行资金总额为0.9亿元，平均执行率为80%，其中研发类项目占执行资金的50%（0.45亿元）。</w:t>
      </w:r>
    </w:p>
    <w:p>
      <w:pPr>
        <w:ind w:firstLine="400"/>
        <w:jc w:val="both"/>
      </w:pPr>
      <w:r>
        <w:t>其他责任单位共承担了17个项目，其中包括基础设施项目4个，研发项目10个，环保项目3个。这些单位执行资金总额为1.2亿元，平均执行率为90%，其中研发类项目占执行资金的80%（0.96亿元）。</w:t>
      </w:r>
    </w:p>
    <w:p>
      <w:pPr>
        <w:ind w:firstLine="400"/>
        <w:jc w:val="both"/>
      </w:pPr>
      <w:r>
        <w:t>总体来看，研发类项目的数量和资金占比最高，显示出公司在技术创新方面的持续投入。各责任单位在任务承担上表现出较高的执行力，但预算执行率存在差异，需进一步分析原因以提高整体效率。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资金执行总额为2.4亿元，其中研发类项目占执行资金的55%（1.32亿元），平均执行率达到了90%，基础设施类项目占执行资金的30%（0.72亿元），平均执行率为85%，环保类项目占执行资金的15%（0.36亿元），平均执行率为80%。在所有负责单位中，单位201和202表现突出，其项目执行率分别达到了92%和88%，显著高于平均水平。</w:t>
      </w:r>
    </w:p>
    <w:p>
      <w:pPr>
        <w:ind w:firstLine="400"/>
        <w:jc w:val="both"/>
      </w:pPr>
      <w:r>
        <w:t>预算执行情况显示，尽管研发类项目的数量最多且资金投入最大，但各类型项目的执行效率均保持较高水平，表明组织在资源配置与管理上具有较高的效率。此外，环保类项目的执行率虽然略低于其他两类项目，但仍达到了80%的高水平，显示出公司在可持续发展方面的持续努力和承诺。</w:t>
      </w:r>
    </w:p>
    <w:p>
      <w:pPr>
        <w:ind w:firstLine="400"/>
        <w:jc w:val="both"/>
      </w:pPr>
      <w:r>
        <w:t>值得注意的是，尽管整体预算执行情况良好，但在某些单位中仍存在执行不力的情况。例如，有3个单位（占总数的15%）的预算执行率未达到预期目标，这可能需要进一步分析以确定具体原因并采取相应措施加以改进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156个项目，同比增加8%。项目类型分布：型号研制类占比37%（58个），涉火项目占比29%（45个），重点跟踪项目占比18%（28个），新增项目占比16%（25个）。资金执行总额为10.5亿元，其中型号研制类项目占执行资金的42%（4.4亿元），平均执行率为78%。涉火项目的资金执行率为73%，重点跟踪项目的资金执行率为85%，新增项目的资金执行率为69%。</w:t>
      </w:r>
    </w:p>
    <w:p>
      <w:pPr>
        <w:ind w:firstLine="400"/>
        <w:jc w:val="both"/>
      </w:pPr>
      <w:r>
        <w:t>在负责单位承诺方面，单位201、202及其他单位均按时提交了项目进展报告，并完成了年度目标的80%以上。其中，单位201完成率最高，达到92%；单位202完成率为85%，其他单位平均完成率为79%。</w:t>
      </w:r>
    </w:p>
    <w:p>
      <w:pPr>
        <w:ind w:firstLine="400"/>
        <w:jc w:val="both"/>
      </w:pPr>
      <w:r>
        <w:t>在业务价值方面，通过优化资源配置和提高执行效率，本年度项目的整体合规性得到了显著提升，所有项目均符合国家及行业标准。此外，重点跟踪的环保类项目占比虽仅为18%，但其对公司的长期战略目标具有重要影响，有助于公司实现可持续发展目标。</w:t>
      </w:r>
    </w:p>
    <w:p>
      <w:pPr>
        <w:ind w:firstLine="400"/>
        <w:jc w:val="both"/>
      </w:pPr>
      <w:r>
        <w:t>需要注意的是，预算执行率数据在3/10单位中不可用，这可能会影响整体评估结果的一致性和准确性。建议在未来的工作中加强对这些单位的数据收集和管理，以确保报告的全面性和可靠性。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