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2025年05月16日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30%（91个），研发类占45%（136个），环保类占25%（77个）。资金执行总额为8.5亿元，其中研发类项目占执行资金的50%（4.25亿元），平均执行率为85%。重点跟踪项目数量为45个，新增项目数量为90个，拖期项目数量为15个。型号研制项目和涉火项目的具体数据暂未提供。</w:t>
      </w:r>
    </w:p>
    <w:p>
      <w:pPr>
        <w:ind w:firstLine="400"/>
        <w:jc w:val="both"/>
      </w:pPr>
      <w:r>
        <w:t>在业务价值方面，研发类项目的高占比表明公司在技术创新方面的持续投入，有助于提升公司的核心竞争力。环保类项目的增加反映了公司对可持续发展的重视，有利于增强企业的社会责任感和品牌形象。基础设施类项目的稳定增长则确保了公司的运营基础，提升了整体的运行效率和合规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承诺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预算执行率方面，责任单位201和202以及部分其他单位的数据完整，但有三个单位的预算执行数据缺失。总体来看，各责任单位在任务承担上表现较为均衡，特别是在研发类项目的投入上表现出较高的积极性和执行力，这有助于推动组织的技术创新和发展战略目标的实现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45.6%（0.983亿元），平均执行率为87.2%。基础设施类项目的资金执行额为0.78亿元，占比36%，环保类项目资金执行额为0.39亿元，占比18.1%。</w:t>
      </w:r>
    </w:p>
    <w:p>
      <w:pPr>
        <w:ind w:firstLine="400"/>
        <w:jc w:val="both"/>
      </w:pPr>
      <w:r>
        <w:t>在负责单位方面，单位201的项目资金执行总额为0.54亿元，占总执行金额的25%，平均执行率为89%；单位202的资金执行总额为0.67亿元，占总执行金额的31%，平均执行率为86%。其他单位合计执行金额为0.95亿元，占比44%，平均执行率为85.5%。</w:t>
      </w:r>
    </w:p>
    <w:p>
      <w:pPr>
        <w:ind w:firstLine="400"/>
        <w:jc w:val="both"/>
      </w:pPr>
      <w:r>
        <w:t>预算执行率方面，所有负责单位中，有三个单位的数据不可用，分别为203、207和210。其余单位的预算执行情况均符合预期，未发现重大偏差或异常情况。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方面，所有项目的合计为304个。</w:t>
      </w:r>
    </w:p>
    <w:p>
      <w:pPr>
        <w:ind w:firstLine="400"/>
        <w:jc w:val="both"/>
      </w:pPr>
      <w:r>
        <w:t>资金执行总额215.67亿元，其中研发类项目占执行资金的具体比例和金额未能提供详细数据。平均执行率的数据同样缺失，无法计算得出具体数值。</w:t>
      </w:r>
    </w:p>
    <w:p>
      <w:pPr>
        <w:ind w:firstLine="400"/>
        <w:jc w:val="both"/>
      </w:pPr>
      <w:r>
        <w:t>在业务价值上，尽管具体的效率提升、合规性和战略对齐情况未有明确数据支持，但可以推测通过项目的持续管理和跟踪，组织可能实现了资源的有效配置与利用。然而，由于部分关键指标的缺失或不完整，上述推断需进一步的数据验证以确保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