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同时，拖期项目数量为8个，占比5%，表明尽管整体执行情况良好，但仍存在部分项目未能按时完成的情况。重点跟踪的项目共有23个，占总项目的14.7%。</w:t>
      </w:r>
    </w:p>
    <w:p>
      <w:pPr>
        <w:ind w:firstLine="400"/>
        <w:jc w:val="both"/>
      </w:pPr>
      <w:r>
        <w:t>从项目来源看，内部发起的项目占比60%，外部合作项目占比40%，显示出公司在保持自主创新能力的同时，也在积极寻求与外部合作伙伴的合作机会。在负责单位方面，单位201和202分别承担了主要的研发类和基础设施类项目的执行工作，其中单位201负责50个研发类项目，单位202则负责35个基础设施类项目。</w:t>
      </w:r>
    </w:p>
    <w:p>
      <w:pPr>
        <w:ind w:firstLine="400"/>
        <w:jc w:val="both"/>
      </w:pPr>
      <w:r>
        <w:t>综上所述，2024年公司在项目立项、资金使用及业务拓展方面均取得了显著进展，但在部分项目的按时完成率上仍需进一步提升。</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可以看出，研发类项目在数量和资金投入上均占据主导地位，显示出公司在技术创新方面的持续重视。基础设施类项目的增加表明公司正在加强其基础建设以支持长期发展。环保类项目虽然数量较少，但其较高的资金执行率反映了公司在可持续发展方面取得的成效。此外，各类型项目的平均执行率较高，体现了良好的资金使用效率和管理能力。</w:t>
      </w:r>
    </w:p>
    <w:p>
      <w:pPr>
        <w:ind w:firstLine="400"/>
        <w:jc w:val="both"/>
      </w:pPr>
      <w:r>
        <w:t>在业务价值上，这种类型的分布有助于提高公司的整体运营效率、确保合规性，并与公司长期战略目标保持一致。通过合理分配资源，公司能够更好地应对市场变化并实现可持续发展。</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的资金执行率为85%，环保类项目的资金执行率为78%。</w:t>
      </w:r>
    </w:p>
    <w:p>
      <w:pPr>
        <w:ind w:firstLine="400"/>
        <w:jc w:val="both"/>
      </w:pPr>
      <w:r>
        <w:t>在负责单位方面，单位201的资金执行率为92%，单位202为88%，其他单位平均执行率为86%。值得注意的是，尽管研发类项目数量最多且资金投入最大，但其执行率最高，表明该类别项目在资源利用和管理效率上表现突出。</w:t>
      </w:r>
    </w:p>
    <w:p>
      <w:pPr>
        <w:ind w:firstLine="400"/>
        <w:jc w:val="both"/>
      </w:pPr>
      <w:r>
        <w:t>此外，预算执行情况显示，所有项目的总体执行率达到90%，这反映了组织在财务管理和项目实施上的高效性与合规性。然而，值得注意的是，有3个单位的预算执行数据不可用，具体为单位215、216和217，可能需要进一步调查以确保全面的数据覆盖。</w:t>
      </w:r>
    </w:p>
    <w:p>
      <w:pPr>
        <w:ind w:firstLine="400"/>
        <w:jc w:val="both"/>
      </w:pPr>
      <w:r>
        <w:t>从战略角度来看，研发类项目的高资金投入及高效的执行率表明组织在技术创新方面的持续投资与重视。同时，环保类项目虽然占比相对较小，但其执行情况也体现了组织对可持续发展的承诺。</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的资金执行率为85%，新增项目的资金执行率为69%。</w:t>
      </w:r>
    </w:p>
    <w:p>
      <w:pPr>
        <w:ind w:firstLine="400"/>
        <w:jc w:val="both"/>
      </w:pPr>
      <w:r>
        <w:t>在负责单位承诺方面，单位201、202及其他单位均按时提交了项目进展报告，并完成了年度目标的80%以上。其中，单位201完成率最高，达到92%，而其他单位平均完成率为75%。</w:t>
      </w:r>
    </w:p>
    <w:p>
      <w:pPr>
        <w:ind w:firstLine="400"/>
        <w:jc w:val="both"/>
      </w:pPr>
      <w:r>
        <w:t>从整体来看，尽管部分项目的执行进度存在滞后现象（拖期项目占比为6%），但总体上，各负责单位均能较好地履行其职责，并在资金使用效率方面表现良好。此外，重点跟踪和新增项目的高执行率表明公司在战略方向上的精准投入与高效管理。</w:t>
      </w:r>
    </w:p>
    <w:p>
      <w:pPr>
        <w:ind w:firstLine="400"/>
        <w:jc w:val="both"/>
      </w:pPr>
      <w:r>
        <w:t>报告总结指出，2024年公司通过优化资源配置、强化项目管理和提升团队执行力，在多个关键领域取得了显著进展，为公司的长期发展奠定了坚实基础。</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