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和基础设施类项目上的投入较大，显示出公司对技术创新和基础建设的重视。环保类项目的比例也达到了25%，表明公司在可持续发展方面做出了积极的努力。资金执行率高，显示了较高的财务管理和执行效率。</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经费执行情况如下：单位201的资金执行率为92%，单位202为87%，其他单位平均执行率为85%。预算执行率未提供完整数据，其中3/10的责任单位的数据不可用。尽管存在部分数据缺失，但从现有数据来看，整体资金使用效率较高，符合年度财务规划目标。</w:t>
      </w:r>
    </w:p>
    <w:p>
      <w:pPr>
        <w:ind w:firstLine="400"/>
        <w:jc w:val="both"/>
      </w:pPr>
      <w:r>
        <w:t>研发类项目的高比例和较高的资金执行额表明组织在技术创新方面的持续投入，这有助于提升长期竞争力并保持市场领先地位。基础设施项目作为支撑性投资，其稳定的投资规模确保了运营基础的稳固。环保类项目的资金执行情况反映了公司在可持续发展方面所做的努力，符合当前绿色发展的大趋势。</w:t>
      </w:r>
    </w:p>
    <w:p>
      <w:pPr>
        <w:ind w:firstLine="400"/>
        <w:jc w:val="both"/>
      </w:pPr>
      <w:r>
        <w:t>综上所述，2024年的项目经费执行情况总体良好，各类型项目均按计划推进，资金使用效率较高，体现了组织在战略规划和财务执行上的高效性与合规性。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负责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