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与实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责任单位201共承担了9个项目，其中基础设施项目3个，研发项目4个，环保项目2个。该单位的平均执行率为85%，资金执行总额为0.7亿元，其中研发类项目占执行资金的60%（0.42亿元）。</w:t>
      </w:r>
    </w:p>
    <w:p>
      <w:pPr>
        <w:ind w:firstLine="400"/>
        <w:jc w:val="both"/>
      </w:pPr>
      <w:r>
        <w:t>责任单位202共承担了10个项目，包括基础设施项目3个，研发项目5个，环保项目2个。该单位的平均执行率为89%，资金执行总额为0.8亿元，其中研发类项目占执行资金的65%（0.52亿元）。</w:t>
      </w:r>
    </w:p>
    <w:p>
      <w:pPr>
        <w:ind w:firstLine="400"/>
        <w:jc w:val="both"/>
      </w:pPr>
      <w:r>
        <w:t>其他责任单位共承担了17个项目，其中包括基础设施项目5个，研发项目8个，环保项目4个。这些单位的平均执行率为83%，资金执行总额为1.1亿元，其中研发类项目占执行资金的60%（0.66亿元）。</w:t>
      </w:r>
    </w:p>
    <w:p>
      <w:pPr>
        <w:ind w:firstLine="400"/>
        <w:jc w:val="both"/>
      </w:pPr>
      <w:r>
        <w:t>总体来看，研发类项目的数量和资金投入均占据较大比例，显示出公司在技术创新方面的持续重视。同时，环保类项目的增加也体现了公司对可持续发展的承诺。各责任单位在任务承担上表现出较高的执行力，但需注意个别单位的资金执行率存在波动，建议进一步分析原因并采取相应措施以确保项目顺利推进。</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11个），研发类50%（18个），环保类20%（7个）。资金执行总额为2.4亿元，其中研发类项目占执行资金的60%（1.44亿元），平均执行率90%。基础设施类项目资金执行额为0.72亿元，平均执行率为85%，而环保类项目的资金执行额为0.24亿元，平均执行率为95%。</w:t>
      </w:r>
    </w:p>
    <w:p>
      <w:pPr>
        <w:ind w:firstLine="400"/>
        <w:jc w:val="both"/>
      </w:pPr>
      <w:r>
        <w:t>在负责单位方面，单位201的项目资金执行总额为0.6亿元，占总执行金额的25%，其中研发类项目占比最高，达到70%（0.42亿元），执行率88%。单位202的资金执行总额为0.9亿元，占37.5%，主要集中在基础设施类项目上，资金执行额为0.6亿元，平均执行率为87%。</w:t>
      </w:r>
    </w:p>
    <w:p>
      <w:pPr>
        <w:ind w:firstLine="400"/>
        <w:jc w:val="both"/>
      </w:pPr>
      <w:r>
        <w:t>值得注意的是，尽管环保类项目的数量较少，但其资金执行效率最高，表明在有限的资源下实现了较高的效益。此外，预算执行率方面，所有单位均达到或超过预期目标，显示了良好的财务管理和项目执行力。然而，预算执行率数据对于3/10的单位不可用，这可能影响整体分析的全面性。</w:t>
      </w:r>
    </w:p>
    <w:p>
      <w:pPr>
        <w:ind w:firstLine="400"/>
        <w:jc w:val="both"/>
      </w:pPr>
      <w:r>
        <w:t>总体来看，2024年的项目资金执行情况良好，特别是在研发和环保类项目的高效执行上体现了组织的战略重点与业务价值。</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提供。</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业务价值方面，尽管具体数值未能完全呈现，但可以推测通过项目的持续立项和管理，组织在型号研制、涉火项目及重点跟踪等方面保持了一定的发展势头。然而，由于部分关键指标的数据缺失或不完整，对效率提升、合规性和战略一致性等方面的全面评估受到限制。</w:t>
      </w:r>
    </w:p>
    <w:p>
      <w:pPr>
        <w:ind w:firstLine="400"/>
        <w:jc w:val="both"/>
      </w:pPr>
      <w:r>
        <w:t>综上所述，2024年的项目报告总结显示了项目数量的增长趋势和类型分布的概览，但由于数据完整性问题，对于资金执行情况及业务价值的具体量化分析存在一定的局限性。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