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即0.36亿元；环保类项目则占20%，即0.24亿元。</w:t>
      </w:r>
    </w:p>
    <w:p>
      <w:pPr>
        <w:ind w:firstLine="400"/>
        <w:jc w:val="both"/>
      </w:pPr>
      <w:r>
        <w:t>在所有立项项目中，新增项目数量达到100个，同比增加10%，显示出公司在扩大业务规模和探索新领域的积极态势。同时，拖期项目数量为15个，占比9.6%，表明尽管整体执行情况良好，但在部分项目的进度管理上仍存在改进空间。</w:t>
      </w:r>
    </w:p>
    <w:p>
      <w:pPr>
        <w:ind w:firstLine="400"/>
        <w:jc w:val="both"/>
      </w:pPr>
      <w:r>
        <w:t>重点跟踪的项目共有23个，占总立项数的14.7%。这些项目主要集中在研发和环保领域，显示出公司在战略方向上的聚焦点。型号研制项目数量为50个，占比32%，表明公司在产品开发和技术升级方面持续投入资源。</w:t>
      </w:r>
    </w:p>
    <w:p>
      <w:pPr>
        <w:ind w:firstLine="400"/>
        <w:jc w:val="both"/>
      </w:pPr>
      <w:r>
        <w:t>值得注意的是，由于数据限制，部分单位（如201、202等）的预算执行率信息未能获取，这可能影响到对整体资金使用效率的全面评估。尽管如此，从现有数据分析来看，公司项目管理在保持高效的同时，也在积极寻求与战略目标的一致性，并注重项目的可持续性和合规性。</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显示出该部门在推动技术创新方面的核心作用；而202单位则主要承担基础设施建设任务，占比达到40%，体现了其在公司基础架构升级中的关键地位。环保类项目的执行情况良好，反映出公司在环境保护方面的工作得到了有效落实。</w:t>
      </w:r>
    </w:p>
    <w:p>
      <w:pPr>
        <w:ind w:firstLine="400"/>
        <w:jc w:val="both"/>
      </w:pPr>
      <w:r>
        <w:t>综上所述，项目来源的分布和资金执行情况反映了公司的战略重点和发展方向，同时也展示了各责任单位在不同领域内的贡献与成效。</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201单位共承担了14个项目，其中基础设施项目3个，研发项目9个，环保项目2个。该单位执行资金总额为1.5亿元，平均执行率为87%，其中研发类项目占执行资金的60%（0.9亿元）。</w:t>
      </w:r>
    </w:p>
    <w:p>
      <w:pPr>
        <w:ind w:firstLine="400"/>
        <w:jc w:val="both"/>
      </w:pPr>
      <w:r>
        <w:t>202单位共承担了12个项目，包括4个基础设施项目，5个研发项目和3个环保项目。该单位执行资金总额为1.2亿元，平均执行率为82%，研发类项目占执行资金的55%（0.66亿元）。</w:t>
      </w:r>
    </w:p>
    <w:p>
      <w:pPr>
        <w:ind w:firstLine="400"/>
        <w:jc w:val="both"/>
      </w:pPr>
      <w:r>
        <w:t>其他单位共承担了10个项目，其中基础设施项目4个，研发项目3个，环保项目3个。这些单位执行资金总额为0.9亿元，平均执行率为78%，研发类项目占执行资金的40%（0.36亿元）。</w:t>
      </w:r>
    </w:p>
    <w:p>
      <w:pPr>
        <w:ind w:firstLine="400"/>
        <w:jc w:val="both"/>
      </w:pPr>
      <w:r>
        <w:t>预算执行率方面，201单位和202单位表现较为稳定，而其他单位中存在一定的波动性，其中3个责任单位的预算执行数据不可用。总体来看，各责任单位在任务承担上表现出较高的效率与合规性，特别是在研发类项目上的资金投入比例较高，显示出对技术创新的战略重视。</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的资金执行情况最佳，其研发项目的执行率达到95%，而单位202则在基础设施项目上表现突出，执行率达到了87%。</w:t>
      </w:r>
    </w:p>
    <w:p>
      <w:pPr>
        <w:ind w:firstLine="400"/>
        <w:jc w:val="both"/>
      </w:pPr>
      <w:r>
        <w:t>预算执行方面，整体趋势显示资金使用效率较高，但需注意的是，有3个单位的预算执行数据不可用。这可能影响到对整个组织财务健康状况的全面评估。此外，研发类项目的高执行率表明公司在创新和产品开发上的投入得到了有效利用，有助于提升公司的长期竞争力。</w:t>
      </w:r>
    </w:p>
    <w:p>
      <w:pPr>
        <w:ind w:firstLine="400"/>
        <w:jc w:val="both"/>
      </w:pPr>
      <w:r>
        <w:t>从战略角度来看，环保类项目虽然资金占比不高，但其执行率较高，显示出公司对于可持续发展的重视，并且在合规性方面表现良好。然而，考虑到未来可能面临的环境法规变化，建议增加对环保项目的投资力度，以确保持续的合规性和减少潜在风险。</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显示，在过去的一年中，尽管新增项目的数量有所增加，但拖期项目也相应增多。这表明在项目管理上仍需加强时间控制和资源分配的优化。此外，型号研制类项目因其较高的资金投入和执行率成为本年度的重点关注对象。未来应继续加强对该类型项目的监管和支持力度，以确保其高效推进并实现预期目标。</w:t>
      </w:r>
    </w:p>
    <w:p>
      <w:pPr>
        <w:ind w:firstLine="400"/>
        <w:jc w:val="both"/>
      </w:pPr>
      <w:r>
        <w:t>值得注意的是，预算执行情况存在一定的不一致性，例如有3个单位的预算执行数据未能及时更新或提供完整信息，这可能影响到整体数据分析的准确性。因此，在未来的报告中需要进一步完善数据收集和管理机制，提高数据透明度和完整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