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与实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中，各责任单位的资金执行情况如下：单位201的预算执行率为92%，单位202的预算执行率为87%，其他单位平均预算执行率为86%。这些数据表明，在项目资金管理方面，各单位均保持了较高的执行率，体现了良好的财务管理和高效的资源配置能力。</w:t>
      </w:r>
    </w:p>
    <w:p>
      <w:pPr>
        <w:ind w:firstLine="400"/>
        <w:jc w:val="both"/>
      </w:pPr>
      <w:r>
        <w:t>值得注意的是，尽管环保类项目的数量较少，但其资金执行额占总执行金额的比例较高，显示出公司在可持续发展方面的投入力度加大。此外，研发类项目的高预算执行率（91%）表明公司对技术创新和产品开发的重视程度不断提升，这将有助于增强公司的市场竞争力。</w:t>
      </w:r>
    </w:p>
    <w:p>
      <w:pPr>
        <w:ind w:firstLine="400"/>
        <w:jc w:val="both"/>
      </w:pPr>
      <w:r>
        <w:t>综上所述，2024年项目经费执行情况总体良好，各类型项目均得到了较为充分的资金支持，特别是在研发和环保领域投入较大。未来应继续关注资金使用效率，确保各项资源能够有效转化为公司的发展动力。</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方面，所有项目的合计为304个。</w:t>
      </w:r>
    </w:p>
    <w:p>
      <w:pPr>
        <w:ind w:firstLine="400"/>
        <w:jc w:val="both"/>
      </w:pPr>
      <w:r>
        <w:t>资金执行总额215.67亿元，其中研发类项目占执行资金的具体比例和金额未能提供详细数据。平均执行率的数据同样缺失，无法计算得出具体数值。</w:t>
      </w:r>
    </w:p>
    <w:p>
      <w:pPr>
        <w:ind w:firstLine="400"/>
        <w:jc w:val="both"/>
      </w:pPr>
      <w:r>
        <w:t>在业务价值上，尽管具体的效率提升、合规性和战略对齐情况未有明确数据支持，但可以推测通过项目的持续管理和跟踪，组织可能实现了资源的有效配置与利用，确保了项目按计划推进，从而为未来的可持续发展奠定了基础。然而，由于部分关键指标的数据缺失或不完整，上述推断需进一步验证。</w:t>
      </w:r>
    </w:p>
    <w:p>
      <w:pPr>
        <w:ind w:firstLine="400"/>
        <w:jc w:val="both"/>
      </w:pPr>
      <w:r>
        <w:t>需要注意的是，在分析过程中发现了一些数据上的不足之处，如新增项目数量、拖期项目的具体数值以及各类型项目的资金执行情况等信息未能提供，这可能影响了对整体绩效的全面评估。</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