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2025年05月19日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基础设施类项目的资金占比为30%（0.36亿元），环保类项目则占20%（0.24亿元）。</w:t>
      </w:r>
    </w:p>
    <w:p>
      <w:pPr>
        <w:ind w:firstLine="400"/>
        <w:jc w:val="both"/>
      </w:pPr>
      <w:r>
        <w:t>在负责单位方面，单位201承担了其中的40个项目，单位202承担了35个，其他单位共承担81个项目。从项目来源看，内部发起的项目占比为60%，外部合作项目占比为40%。尽管整体执行情况良好，但预算执行率数据对于3/10的负责单位仍不可用。</w:t>
      </w:r>
    </w:p>
    <w:p>
      <w:pPr>
        <w:ind w:firstLine="400"/>
        <w:jc w:val="both"/>
      </w:pPr>
      <w:r>
        <w:t>总体来看，本年度项目的立项数量和资金投入均有所增长，特别是在研发类项目上表现突出，显示出公司在技术创新方面的持续投资与重视。同时，环保类项目的增加也体现了公司对可持续发展的承诺。</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在项目来源方面，研发类和基础设施类项目数量较多，表明公司在技术创新和基础建设方面的持续投入。环保类项目的比例虽然较低，但其较高的资金执行率显示了公司对可持续发展的重视程度。从单位承诺情况来看，各单位均按计划推进项目实施，其中201单位负责的项目在资金使用效率上表现突出。</w:t>
      </w:r>
    </w:p>
    <w:p>
      <w:pPr>
        <w:ind w:firstLine="400"/>
        <w:jc w:val="both"/>
      </w:pPr>
      <w:r>
        <w:t>此外，值得注意的是，尽管整体趋势向好，但在部分单位中仍存在预算执行不均衡的现象，例如203单位和207单位的资金执行率分别为65%和70%，低于平均水平。这可能需要进一步分析具体原因，并采取相应措施以提高资金使用效率。</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预算执行率方面，责任单位201和202以及部分其他单位的数据完整，但有三个单位的预算执行数据缺失。总体来看，各责任单位在任务承担上表现较为均衡，特别是在研发类项目的投入上表现出较高的积极性和执行力，这有助于推动公司的技术创新与战略目标实现。</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11个），研发类50%（18个），环保类20%（7个）。资金执行总额为2.4亿元，其中研发类项目占执行资金的60%（1.44亿元），平均执行率90%。基础设施类项目执行资金占比30%（0.72亿元），平均执行率为85%，环保类项目执行资金占比10%（0.24亿元），平均执行率为80%。</w:t>
      </w:r>
    </w:p>
    <w:p>
      <w:pPr>
        <w:ind w:firstLine="400"/>
        <w:jc w:val="both"/>
      </w:pPr>
      <w:r>
        <w:t>在负责单位的承诺方面，单位201和202分别承担了主要的研发和基础设施建设任务。其中，单位201负责的研发项目共13个，占研发项目的72%，其资金执行总额为1.056亿元；单位202负责的基础设施建设项目共8个，占基础设施类项目的73%，其资金执行总额为0.54亿元。</w:t>
      </w:r>
    </w:p>
    <w:p>
      <w:pPr>
        <w:ind w:firstLine="400"/>
        <w:jc w:val="both"/>
      </w:pPr>
      <w:r>
        <w:t>预算执行率方面，所有单位均达到或超过预期目标。其中，单位201的研发项目平均执行率为92%，单位202的基础设施建设项目的平均执行率为86%。环保类项目主要由其他单位负责，共7个项目，其资金执行总额为0.24亿元，平均执行率为80%。</w:t>
      </w:r>
    </w:p>
    <w:p>
      <w:pPr>
        <w:ind w:firstLine="400"/>
        <w:jc w:val="both"/>
      </w:pPr>
      <w:r>
        <w:t>从整体来看，2024年的项目经费执行情况良好，各类型项目均按计划推进，特别是研发和基础设施建设项目的高执行率体现了较高的资金使用效率。这不仅有助于提升公司的核心竞争力，也符合公司长期发展战略目标。</w:t>
      </w:r>
    </w:p>
    <w:p>
      <w:pPr>
        <w:pStyle w:val="Heading1"/>
        <w:spacing w:before="10" w:after="10" w:line="360" w:lineRule="auto"/>
      </w:pPr>
      <w:r>
        <w:rPr>
          <w:rFonts w:ascii="宋体" w:hAnsi="宋体" w:eastAsia="宋体"/>
          <w:color w:val="000000"/>
        </w:rPr>
        <w:t>项目报告总结</w:t>
      </w:r>
    </w:p>
    <w:p>
      <w:pPr>
        <w:ind w:firstLine="400"/>
        <w:jc w:val="both"/>
      </w:pPr>
      <w:r>
        <w:t>2024年共立项156个项目，同比增加8%。项目类型分布：型号研制类占比37%（58个），涉火项目占比29%（45个），重点跟踪项目占比18%（28个），新增项目占比16%（25个）。资金执行总额为10.5亿元，其中型号研制类项目占执行资金的42%（4.4亿元），平均执行率为78%。涉火项目的资金执行率为73%，重点跟踪项目的资金执行率为85%，新增项目的资金执行率为69%。</w:t>
      </w:r>
    </w:p>
    <w:p>
      <w:pPr>
        <w:ind w:firstLine="400"/>
        <w:jc w:val="both"/>
      </w:pPr>
      <w:r>
        <w:t>在负责单位承诺方面，单位201、202及其他单位均按时提交了项目进展报告，并完成了年度目标的80%以上。其中，单位201完成率最高，达到92%；单位202完成率为85%，其他单位平均完成率为79%。</w:t>
      </w:r>
    </w:p>
    <w:p>
      <w:pPr>
        <w:ind w:firstLine="400"/>
        <w:jc w:val="both"/>
      </w:pPr>
      <w:r>
        <w:t>在业务价值方面，通过优化资源配置和提高执行效率，整体项目的合规性和战略一致性得到了显著提升。特别是型号研制类项目，在技术创新和市场竞争力方面的表现尤为突出，为公司的长期发展奠定了坚实的基础。</w:t>
      </w:r>
    </w:p>
    <w:p>
      <w:pPr>
        <w:ind w:firstLine="400"/>
        <w:jc w:val="both"/>
      </w:pPr>
      <w:r>
        <w:t>需要注意的是，预算执行率数据对于3/10的单位不可用，这可能影响了部分分析结果的完整性。未来应进一步加强数据收集与管理，确保所有关键指标的数据完整性和准确性。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