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运营情况，特别是在研发类项目上的投入显著增加，显示出公司对技术创新的高度重视。同时，环保类项目的增长也体现了公司在可持续发展方面的努力。尽管存在部分数据缺失的情况，但总体来看，公司的项目执行效率较高，资金使用较为合理。</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在所有负责单位中，单位201和202表现突出，其项目执行率分别达到了95%和92%，显著高于平均水平。</w:t>
      </w:r>
    </w:p>
    <w:p>
      <w:pPr>
        <w:ind w:firstLine="400"/>
        <w:jc w:val="both"/>
      </w:pPr>
      <w:r>
        <w:t>预算执行情况显示，尽管整体上各项目的资金使用效率较高，但仍有部分单位存在执行偏差，如单位301的执行率为78%，低于平均值。此外，研发类项目的高执行率（90%）表明该类别项目在资源配置和管理上的高效性，这不仅有助于提升企业的技术创新能力，也符合公司长期发展战略。</w:t>
      </w:r>
    </w:p>
    <w:p>
      <w:pPr>
        <w:ind w:firstLine="400"/>
        <w:jc w:val="both"/>
      </w:pPr>
      <w:r>
        <w:t>值得注意的是，环保类项目的资金使用效率虽然略低，但其重要性和必要性不容忽视。随着社会对环境保护要求的不断提高，加大对环保类项目的投入和支持显得尤为关键。未来应进一步优化资源配置策略，确保所有项目都能高效执行，同时加强监督和管理，以提高整体的资金使用效益。</w:t>
      </w:r>
    </w:p>
    <w:p>
      <w:pPr>
        <w:ind w:firstLine="400"/>
        <w:jc w:val="both"/>
      </w:pPr>
      <w:r>
        <w:t>在合规方面，所有单位均按照既定预算计划进行资金分配与使用，未发现违规操作现象。这表明公司在财务管理上保持了较高的透明度和规范性，有助于增强内外部利益相关者的信任和支持。</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类占比具体数值未提供（数量未知），涉火项目占比具体数值未提供（数量未知），重点跟踪项目占比具体数值未提供（数量未知）。新增项目和拖期项目的具体数量也未给出。</w:t>
      </w:r>
    </w:p>
    <w:p>
      <w:pPr>
        <w:ind w:firstLine="400"/>
        <w:jc w:val="both"/>
      </w:pPr>
      <w:r>
        <w:t>资金执行总额及各类型项目所占比例数据缺失，无法计算平均执行率。预算执行情况中，有3/10的责任单位的预算执行率数据不可用，导致整体分析存在局限性。</w:t>
      </w:r>
    </w:p>
    <w:p>
      <w:pPr>
        <w:ind w:firstLine="400"/>
        <w:jc w:val="both"/>
      </w:pPr>
      <w:r>
        <w:t>在业务价值方面，尽管具体数值未能提供，但可以推测型号研制类项目的增加可能有助于提升技术储备和市场竞争力；涉火项目则可能对安全管理和合规性具有重要意义。然而，由于缺乏详细的数据支持，上述推断仅作为参考，实际影响需进一步分析确认。</w:t>
      </w:r>
    </w:p>
    <w:p>
      <w:pPr>
        <w:ind w:firstLine="400"/>
        <w:jc w:val="both"/>
      </w:pPr>
      <w:r>
        <w:t>综上所述，2024年的项目管理在数量上有显著增长，但具体类型分布、资金执行情况及各责任单位的预算执行率数据存在缺失或不完整的情况，这限制了对整体业务价值和效率提升程度的全面评估。未来应加强数据收集与分析能力，以更准确地反映项目管理和执行的效果。</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