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承诺方面，单位201和202分别承担了其中的40个和30个项目，其余由其他单位分担。重点跟踪项目的数量为25个，新增项目数量达到36个，而拖期项目数量则有8个。项目来源情况显示，内部发起的项目占总数的70%，外部合作项目占比30%。</w:t>
      </w:r>
    </w:p>
    <w:p>
      <w:pPr>
        <w:ind w:firstLine="400"/>
        <w:jc w:val="both"/>
      </w:pPr>
      <w:r>
        <w:t>预算执行方面，尽管整体执行率较高，但仍有部分单位的数据缺失或不完整，例如预算执行率数据在10个单位中仅可获取7个单位的信息。</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90%，而202单位的环保项目执行率为85%。这些数据有助于进一步分析各单位在不同领域的工作效率和合规性表现。</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示出较高的执行力与合规性。</w:t>
      </w:r>
    </w:p>
    <w:p>
      <w:pPr>
        <w:ind w:firstLine="400"/>
        <w:jc w:val="both"/>
      </w:pPr>
      <w:r>
        <w:t>预算执行情况显示，尽管环保类项目的数量较少，但其资金使用效率较高，表明公司在可持续发展方面的投入得到了有效利用。研发类项目由于其高占比及高效的资金执行率，成为推动公司技术创新的主要力量。基础设施类项目虽然平均执行率略低于其他两类，但在保障公司运营基础方面发挥了重要作用。</w:t>
      </w:r>
    </w:p>
    <w:p>
      <w:pPr>
        <w:ind w:firstLine="400"/>
        <w:jc w:val="both"/>
      </w:pPr>
      <w:r>
        <w:t>值得注意的是，预算执行过程中存在一些单位的执行情况不理想，例如单位203和204的执行率分别为75%和68%，这可能需要进一步分析原因并采取措施以提高整体资金使用效率。此外，预算执行数据中还发现有三个单位（占总数的1/10）的数据缺失或异常，具体包括单位205、206和207，需在后续工作中进行核实与补充。</w:t>
      </w:r>
    </w:p>
    <w:p>
      <w:pPr>
        <w:ind w:firstLine="400"/>
        <w:jc w:val="both"/>
      </w:pPr>
      <w:r>
        <w:t>总体来看，2024年的项目经费执行情况较好地体现了公司的战略方向，并且大部分项目的资金使用效率较高。然而，仍存在一些需要改进的地方，特别是在部分单位的预算执行率方面，未来应进一步加强管理和监督力度以确保所有资源的有效利用。</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69%，重点跟踪项目的资金执行率为83%，新增项目的资金执行率为72%。</w:t>
      </w:r>
    </w:p>
    <w:p>
      <w:pPr>
        <w:ind w:firstLine="400"/>
        <w:jc w:val="both"/>
      </w:pPr>
      <w:r>
        <w:t>在负责单位承诺方面，单位201、202及其他单位均按时提交了项目进展报告，并完成了年度目标的85%。其中，单位201完成率最高，达到92%，而其他单位平均完成率为83%。值得注意的是，有三个单位的资金执行情况数据缺失，导致无法计算其具体执行率。</w:t>
      </w:r>
    </w:p>
    <w:p>
      <w:pPr>
        <w:ind w:firstLine="400"/>
        <w:jc w:val="both"/>
      </w:pPr>
      <w:r>
        <w:t>业务价值方面，通过优化资源配置和提高项目管理效率，整体项目的按时交付率提高了5个百分点，达到了76%。此外，在合规性和战略一致性上也取得了显著进展，所有项目均符合最新的行业标准和公司政策要求。</w:t>
      </w:r>
    </w:p>
    <w:p>
      <w:pPr>
        <w:ind w:firstLine="400"/>
        <w:jc w:val="both"/>
      </w:pPr>
      <w:r>
        <w:t>综上所述，2024年的项目管理工作在数量、质量和执行效率方面均有提升，但仍有部分单位的数据缺失影响了整体分析的完整性。未来应进一步加强数据收集与管理，确保信息的全面性和准确性。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