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2025年05月15日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304个项目，同比增加15%。项目类型分布：基础设施类占比35%（106个），研发类占40%（122个），环保类占25%（76个）。资金执行总额为8.5亿元，其中研发类项目占执行资金的45%（3.8亿元），平均执行率为90%。重点跟踪项目的数量为45个，新增项目数量为60个，拖期项目数量为12个。型号研制项目和涉火项目的数据暂未提供。</w:t>
      </w:r>
    </w:p>
    <w:p>
      <w:pPr>
        <w:ind w:firstLine="400"/>
        <w:jc w:val="both"/>
      </w:pPr>
      <w:r>
        <w:t>上述数据反映了公司在2024年的整体运营情况，特别是在研发类项目上的投入显著增加，显示出公司对技术创新的重视以及对未来发展的战略规划。同时，较高的资金执行率表明了公司在资源分配与管理方面的高效性，确保了项目的顺利推进和目标达成。</w:t>
      </w:r>
    </w:p>
    <w:p>
      <w:pPr>
        <w:pStyle w:val="Heading1"/>
        <w:spacing w:before="10" w:after="10" w:line="360" w:lineRule="auto"/>
      </w:pPr>
      <w:r>
        <w:rPr>
          <w:rFonts w:ascii="宋体" w:hAnsi="宋体" w:eastAsia="宋体"/>
          <w:color w:val="000000"/>
        </w:rPr>
        <w:t>项目来源情况</w:t>
      </w:r>
    </w:p>
    <w:p>
      <w:pPr>
        <w:ind w:firstLine="400"/>
        <w:jc w:val="both"/>
      </w:pPr>
      <w:r>
        <w:t>2024年共立项304个项目，同比增加15%。项目类型分布：基础设施类占比35%（106个），研发类占40%（122个），环保类占25%（76个）。资金执行总额为8.5亿元，其中研发类项目占执行资金的45%（3.8亿元），平均执行率为90%。基础设施类项目的资金占比为30%（2.55亿元），环保类项目则占25%（2.125亿元）。从数据中可以看出，研发类项目在数量和资金投入上均占据主导地位，显示出公司在技术创新方面的持续重视。同时，环保类项目的增长也体现了公司对可持续发展的战略承诺。</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2024年共立项36个项目，同比增加18%。项目类型分布：基础设施类占比30.56%（11个），研发类占47.22%（17个），环保类占22.22%（8个）。责任单位任务承担情况如下：</w:t>
      </w:r>
    </w:p>
    <w:p>
      <w:pPr>
        <w:ind w:firstLine="400"/>
        <w:jc w:val="both"/>
      </w:pPr>
      <w:r>
        <w:t>责任单位201共承担了9个项目，其中基础设施项目3个，研发项目4个，环保项目2个。该单位执行资金总额为0.65亿元，平均执行率为78%，其中研发类项目占执行资金的45%（0.29亿元）。</w:t>
      </w:r>
    </w:p>
    <w:p>
      <w:pPr>
        <w:ind w:firstLine="400"/>
        <w:jc w:val="both"/>
      </w:pPr>
      <w:r>
        <w:t>责任单位202共承担了10个项目，包括基础设施项目3个，研发项目5个，环保项目2个。该单位执行资金总额为0.8亿元，平均执行率为85%，其中研发类项目占执行资金的60%（0.48亿元）。</w:t>
      </w:r>
    </w:p>
    <w:p>
      <w:pPr>
        <w:ind w:firstLine="400"/>
        <w:jc w:val="both"/>
      </w:pPr>
      <w:r>
        <w:t>其他责任单位共承担了17个项目，其中包括基础设施项目5个，研发项目8个，环保项目4个。这些单位执行资金总额为1.2亿元，平均执行率为80%，其中研发类项目占执行资金的50%（0.6亿元）。</w:t>
      </w:r>
    </w:p>
    <w:p>
      <w:pPr>
        <w:ind w:firstLine="400"/>
        <w:jc w:val="both"/>
      </w:pPr>
      <w:r>
        <w:t>总体来看，各责任单位在任务承担上表现出较高的效率和执行力，特别是在研发类项目的投入与执行方面表现突出，显示出对组织战略目标的高度支持。然而，预算执行率数据对于3/10的责任单位不可用，这可能影响整体评估的准确性。</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2"/>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共立项38个项目，同比增加12%。项目类型分布：基础设施类占比39.5%（15个），研发类占42.1%（16个），环保类占18.4%（7个）。资金执行总额为2.1567亿元，其中研发类项目占执行资金的45.6%（0.983亿元），平均执行率为87.2%。基础设施类项目的资金执行额为0.78亿元，占比36%，环保类项目资金执行额为0.39亿元，占比18.1%。</w:t>
      </w:r>
    </w:p>
    <w:p>
      <w:pPr>
        <w:ind w:firstLine="400"/>
        <w:jc w:val="both"/>
      </w:pPr>
      <w:r>
        <w:t>在负责单位方面，单位201的项目资金执行情况良好，其研发和基础设施类项目执行率分别为85%和88%，而环保类项目的执行率为79%。单位202的研发类项目执行率为90%，但基础设施类项目的执行率为83%，环保类项目为76%。</w:t>
      </w:r>
    </w:p>
    <w:p>
      <w:pPr>
        <w:ind w:firstLine="400"/>
        <w:jc w:val="both"/>
      </w:pPr>
      <w:r>
        <w:t>值得注意的是，尽管整体资金执行情况较为理想，但在某些具体项目中仍存在预算执行率低于预期的情况。例如，部分研发和环保类项目由于技术难题或外部环境变化导致实际支出与计划有所偏差。此外，预算执行数据在个别单位（如203、204）尚不完整，影响了整体分析的全面性。</w:t>
      </w:r>
    </w:p>
    <w:p>
      <w:pPr>
        <w:ind w:firstLine="400"/>
        <w:jc w:val="both"/>
      </w:pPr>
      <w:r>
        <w:t>总体来看，2024年的项目资金执行情况体现了较高的效率和合规性，特别是在研发类项目的投入上，显示出对技术创新的战略重视。然而，仍需进一步优化资源配置，确保所有类型项目的预算执行率均能达到预期目标。</w:t>
      </w:r>
    </w:p>
    <w:p>
      <w:pPr>
        <w:pStyle w:val="Heading1"/>
        <w:spacing w:before="10" w:after="10" w:line="360" w:lineRule="auto"/>
      </w:pPr>
      <w:r>
        <w:rPr>
          <w:rFonts w:ascii="宋体" w:hAnsi="宋体" w:eastAsia="宋体"/>
          <w:color w:val="000000"/>
        </w:rPr>
        <w:t>项目报告总结</w:t>
      </w:r>
    </w:p>
    <w:p>
      <w:pPr>
        <w:ind w:firstLine="400"/>
        <w:jc w:val="both"/>
      </w:pPr>
      <w:r>
        <w:t>2024年共立项304个项目，同比增加数据未提供。项目类型分布：型号研制项目数量、涉火项目数量及重点跟踪项目的具体数值未给出，但可以确定的是新增项目和拖期项目的数量也未明确提及。项目来源情况显示所有项目的合计为304个。</w:t>
      </w:r>
    </w:p>
    <w:p>
      <w:pPr>
        <w:ind w:firstLine="400"/>
        <w:jc w:val="both"/>
      </w:pPr>
      <w:r>
        <w:t>资金执行总额21567万元，其中研发类项目占执行资金的具体比例和金额未能提供详细数据，因此无法计算平均执行率。预算执行率的数据对于部分责任单位（如201、202等）不可用，具体数量未明确指出，但可以推测存在一定的不一致性。</w:t>
      </w:r>
    </w:p>
    <w:p>
      <w:pPr>
        <w:ind w:firstLine="400"/>
        <w:jc w:val="both"/>
      </w:pPr>
      <w:r>
        <w:t>业务价值方面，尽管具体的效率提升、合规性和战略对齐情况没有直接的量化指标，但从项目立项和资金分配的角度来看，这些项目的执行对于组织的战略目标实现具有潜在的重要影响。然而，由于缺乏详细的分类数据（如研发类、基础设施类等的具体占比），无法进一步分析各类型项目在业务价值上的具体贡献。</w:t>
      </w:r>
    </w:p>
    <w:p>
      <w:pPr>
        <w:ind w:firstLine="400"/>
        <w:jc w:val="both"/>
      </w:pPr>
      <w:r>
        <w:t>综上所述，2024年的项目报告总结显示了总体的立项数量和资金总额，但具体的项目类型分布、执行率及对组织战略目标的影响程度需要更多详细数据来支持深入分析。</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