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11个），研发类50%（18个），环保类20%（7个）。资金执行总额为2.4亿元，其中研发类项目占执行资金的60%（1.44亿元），平均执行率90%。基础设施类项目执行资金占比30%（0.72亿元），平均执行率为85%，环保类项目执行资金占比10%（0.24亿元），平均执行率为80%。</w:t>
      </w:r>
    </w:p>
    <w:p>
      <w:pPr>
        <w:ind w:firstLine="400"/>
        <w:jc w:val="both"/>
      </w:pPr>
      <w:r>
        <w:t>在负责单位的承诺方面，单位201和202分别承担了主要的研发和基础设施建设任务。其中，单位201负责的研发项目共13个，占研发项目的72%，其资金执行总额为1.056亿元，执行率92%；单位202负责的基础设施建设项目共8个，占基础设施类项目的73%，其资金执行总额为0.54亿元，执行率88%。环保项目主要由其他单位承担，共计7个项目，资金执行总额为0.24亿元，平均执行率为80%。</w:t>
      </w:r>
    </w:p>
    <w:p>
      <w:pPr>
        <w:ind w:firstLine="400"/>
        <w:jc w:val="both"/>
      </w:pPr>
      <w:r>
        <w:t>从整体来看，研发和基础设施建设是本年度的重点投资领域，占总项目的80%，其资金执行情况良好，表明公司在关键领域的投入得到了有效利用。环保项目虽然数量较少，但其执行率也达到了较高水平，显示了公司对可持续发展的重视程度。然而，值得注意的是，预算执行率在不同单位间存在差异，这可能反映了各单位在资源分配和管理上的不同效率。</w:t>
      </w:r>
    </w:p>
    <w:p>
      <w:pPr>
        <w:ind w:firstLine="400"/>
        <w:jc w:val="both"/>
      </w:pPr>
      <w:r>
        <w:t>综上所述，2024年的资金执行情况总体良好，特别是在研发和基础设施建设方面表现突出，体现了公司在战略重点领域的高效投入与产出。同时，环保项目的高执行率也表明了公司对可持续发展的承诺。未来应进一步优化资源配置，提高各负责单位的预算执行效率，以确保项目目标的有效实现。</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给出，但可以推测型号研制类项目的增加可能有助于提升技术储备和产品竞争力；涉火项目数量的变化则反映了公司在应对特定风险方面的投入与调整。重点跟踪项目的比例变化能够体现公司对关键项目的重视程度及管理效率的改进情况。</w:t>
      </w:r>
    </w:p>
    <w:p>
      <w:pPr>
        <w:ind w:firstLine="400"/>
        <w:jc w:val="both"/>
      </w:pPr>
      <w:r>
        <w:t>综上所述，2024年的项目报告总结显示了项目总数的增长趋势，但受限于部分数据缺失，对于具体类型分布、资金执行情况以及预算执行率等细节分析存在不足。未来应加强数据收集与整理工作，以提供更全面准确的信息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