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15个，占比9.6%，表明尽管整体执行情况良好，但在部分项目的进度管理上仍存在改进空间。</w:t>
      </w:r>
    </w:p>
    <w:p>
      <w:pPr>
        <w:ind w:firstLine="400"/>
        <w:jc w:val="both"/>
      </w:pPr>
      <w:r>
        <w:t>重点跟踪的项目共有23个，占总立项数的14.7%。这些项目主要集中在研发和环保领域，显示出公司在战略方向上的聚焦点。型号研制项目数量为50个，占比32%，表明公司在产品开发和技术升级方面持续投入资源。</w:t>
      </w:r>
    </w:p>
    <w:p>
      <w:pPr>
        <w:ind w:firstLine="400"/>
        <w:jc w:val="both"/>
      </w:pPr>
      <w:r>
        <w:t>值得注意的是，由于数据限制，部分单位（如201、202等）的预算执行率信息未能完全获取，这可能影响到整体分析的全面性。尽管如此，从现有数据分析来看，公司项目管理在效率和合规性上保持了较高水平，并且与公司的长期战略目标高度一致。</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环境保护的重视程度及高效的资金使用效率。从资金分配来看，研发类项目获得了最大的资金支持，这与公司的长期发展战略相一致，有助于提升企业的核心竞争力。</w:t>
      </w:r>
    </w:p>
    <w:p>
      <w:pPr>
        <w:ind w:firstLine="400"/>
        <w:jc w:val="both"/>
      </w:pPr>
      <w:r>
        <w:t>值得注意的是，尽管基础设施类和环保类项目的数量较少，但它们在推动企业可持续发展方面发挥着重要作用。特别是环保类项目执行率高，表明公司在遵守环境保护法规及实现绿色发展的战略目标上取得了显著成效。</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分别完成了其年度预算的95%和92%，而其他单位则普遍达到了87%的执行率。</w:t>
      </w:r>
    </w:p>
    <w:p>
      <w:pPr>
        <w:ind w:firstLine="400"/>
        <w:jc w:val="both"/>
      </w:pPr>
      <w:r>
        <w:t>值得注意的是，尽管整体资金执行情况良好，但部分项目存在预算超支现象，其中研发类项目的平均超支率为3%，基础设施类为1.5%，环保类为2%。此外，有三个负责单位（占总数的15%）未能提供完整的预算执行数据，这可能影响了对这些单位具体表现的全面评估。</w:t>
      </w:r>
    </w:p>
    <w:p>
      <w:pPr>
        <w:ind w:firstLine="400"/>
        <w:jc w:val="both"/>
      </w:pPr>
      <w:r>
        <w:t>从战略角度来看，资金的有效执行不仅保证了项目按时完成，还促进了组织内部资源的优化配置和使用效率提升。特别是在研发类项目的高执行率下，有助于加快技术创新步伐，增强市场竞争力。同时，环保类项目的良好执行也体现了公司在可持续发展方面的承诺与行动力。</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最高，达到了83%。</w:t>
      </w:r>
    </w:p>
    <w:p>
      <w:pPr>
        <w:ind w:firstLine="400"/>
        <w:jc w:val="both"/>
      </w:pPr>
      <w:r>
        <w:t>在负责单位承诺状态方面，主要涉及单位包括201、202等。201单位承担了50个项目，其中正在执行的数量为40个；202单位则承担了45个项目，正在执行的有36个。重点跟踪项目数量共计27个，新增项目数量为18个。</w:t>
      </w:r>
    </w:p>
    <w:p>
      <w:pPr>
        <w:ind w:firstLine="400"/>
        <w:jc w:val="both"/>
      </w:pPr>
      <w:r>
        <w:t>报告中还指出，拖期项目数量占总项目的比例为9%，共涉及14个项目。在项目来源情况方面，内部发起的项目占比达到60%（94个），外部合作项目占35%（55个）。</w:t>
      </w:r>
    </w:p>
    <w:p>
      <w:pPr>
        <w:ind w:firstLine="400"/>
        <w:jc w:val="both"/>
      </w:pPr>
      <w:r>
        <w:t>综上所述，2024年的项目管理在保持高效执行的同时，也注重了不同类型项目的均衡发展和资金的有效利用。然而，拖期项目数量仍需引起重视，并进一步优化项目管理和资源配置策略以提高整体效率。</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