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2025年05月17日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156个项目，同比增加8%。项目类型分布：基础设施类占比30%（47个），研发类占45%（70个），环保类占25%（39个）。资金执行总额为1.2亿元，其中研发类项目占执行资金的50%（0.6亿元），平均执行率为85%。基础设施类项目的资金占比为30%（0.36亿元），环保类项目则占20%（0.24亿元）。</w:t>
      </w:r>
    </w:p>
    <w:p>
      <w:pPr>
        <w:ind w:firstLine="400"/>
        <w:jc w:val="both"/>
      </w:pPr>
      <w:r>
        <w:t>在所有立项项目中，新增项目数量达到100个，同比增加10%，显示出公司在扩大业务规模和探索新领域的积极态势。拖期项目数量为8个，占比5%，表明大部分项目的执行进度较为理想。重点跟踪的项目共有30个，占总项目数的19%。</w:t>
      </w:r>
    </w:p>
    <w:p>
      <w:pPr>
        <w:ind w:firstLine="400"/>
        <w:jc w:val="both"/>
      </w:pPr>
      <w:r>
        <w:t>从项目来源看，内部发起的项目占60%，外部合作项目占40%，显示出公司在保持自主创新能力的同时，也在积极寻求与外部合作伙伴的战略协作机会。在负责单位方面，201和202两个单位分别承担了35个和40个项目，是主要的责任方。</w:t>
      </w:r>
    </w:p>
    <w:p>
      <w:pPr>
        <w:ind w:firstLine="400"/>
        <w:jc w:val="both"/>
      </w:pPr>
      <w:r>
        <w:t>总体来看，公司2024年的项目管理表现出较高的效率和执行率，同时在研发、基础设施建设和环保领域保持均衡发展态势，符合公司的长期战略目标。</w:t>
      </w:r>
    </w:p>
    <w:p>
      <w:pPr>
        <w:pStyle w:val="Heading1"/>
        <w:spacing w:before="10" w:after="10" w:line="360" w:lineRule="auto"/>
      </w:pPr>
      <w:r>
        <w:rPr>
          <w:rFonts w:ascii="宋体" w:hAnsi="宋体" w:eastAsia="宋体"/>
          <w:color w:val="000000"/>
        </w:rPr>
        <w:t>项目来源情况</w:t>
      </w:r>
    </w:p>
    <w:p>
      <w:pPr>
        <w:ind w:firstLine="400"/>
        <w:jc w:val="both"/>
      </w:pPr>
      <w:r>
        <w:t>2024年共立项368个项目，同比增加12%。项目类型分布：基础设施类占比35%（129个），研发类占40%（147个），环保类占25%（92个）。资金执行总额为1.8亿元，其中研发类项目占执行资金的45%（0.81亿元），平均执行率为86%。基础设施类项目的资金占比为30%（0.54亿元），平均执行率为78%，环保类项目资金占比为25%（0.45亿元），平均执行率为92%。</w:t>
      </w:r>
    </w:p>
    <w:p>
      <w:pPr>
        <w:ind w:firstLine="400"/>
        <w:jc w:val="both"/>
      </w:pPr>
      <w:r>
        <w:t>从数据中可以看出，研发类项目在数量和资金投入上均占据主导地位，显示出公司在技术创新方面的持续重视。同时，环保类项目的比例也较为显著，表明公司对可持续发展的承诺。基础设施类项目虽然占比略低，但其稳定的执行率反映了公司在基础建设上的高效管理能力。</w:t>
      </w:r>
    </w:p>
    <w:p>
      <w:pPr>
        <w:ind w:firstLine="400"/>
        <w:jc w:val="both"/>
      </w:pPr>
      <w:r>
        <w:t>值得注意的是，尽管各类型项目的平均执行率较高，但在具体单位层面仍存在差异。例如，201单位的研发项目执行率为90%，而202单位的环保项目执行率仅为85%。这些数据有助于进一步优化资源配置和提升整体效率。</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预算执行率方面，责任单位201和202以及部分其他单位的数据完整且准确，但有三个单位的预算执行数据缺失或不一致，具体影响了整体分析的全面性。</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90%。基础设施类项目资金执行额为6000万元，占比25%，平均执行率为85%；环保类项目资金执行额为4800万元，占比20%，平均执行率为88%。</w:t>
      </w:r>
    </w:p>
    <w:p>
      <w:pPr>
        <w:ind w:firstLine="400"/>
        <w:jc w:val="both"/>
      </w:pPr>
      <w:r>
        <w:t>在负责单位的承诺方面，单位201和202分别承担了其中的13个和9个项目。单位201的资金执行总额为1.1亿元，占总执行金额的45.83%，其项目平均执行率为92%；单位202的资金执行总额为7200万元，占比30%，其项目平均执行率为86%。</w:t>
      </w:r>
    </w:p>
    <w:p>
      <w:pPr>
        <w:ind w:firstLine="400"/>
        <w:jc w:val="both"/>
      </w:pPr>
      <w:r>
        <w:t>值得注意的是，尽管整体资金执行情况良好，但有三个单位（分别为201、202和205）的预算执行率存在显著差异。其中，单位205的资金执行总额为5800万元，占比24.17%，其项目平均执行率为83%。</w:t>
      </w:r>
    </w:p>
    <w:p>
      <w:pPr>
        <w:ind w:firstLine="400"/>
        <w:jc w:val="both"/>
      </w:pPr>
      <w:r>
        <w:t>从上述数据可以看出，研发类项目的资金投入和执行情况最为突出，显示出公司在技术创新方面的持续重视。同时，环保类项目的高执行率也表明了公司对可持续发展的承诺。然而，不同单位之间的预算执行效率存在差异，这可能需要进一步的管理和协调以确保资源的有效利用和战略目标的一致性。</w:t>
      </w:r>
    </w:p>
    <w:p>
      <w:pPr>
        <w:pStyle w:val="Heading1"/>
        <w:spacing w:before="10" w:after="10" w:line="360" w:lineRule="auto"/>
      </w:pPr>
      <w:r>
        <w:rPr>
          <w:rFonts w:ascii="宋体" w:hAnsi="宋体" w:eastAsia="宋体"/>
          <w:color w:val="000000"/>
        </w:rPr>
        <w:t>项目报告总结</w:t>
      </w:r>
    </w:p>
    <w:p>
      <w:pPr>
        <w:ind w:firstLine="400"/>
        <w:jc w:val="both"/>
      </w:pPr>
      <w:r>
        <w:t>2024年共立项156个项目，同比增加8%。项目类型分布：型号研制类占比37%（58个），基础设施类占29%（45个），环保类占18%（28个），其余为其他类别。资金执行总额达到1.2亿元，其中型号研制类项目占执行资金的40%（0.48亿元），平均执行率为76%，研发类项目的平均执行率略低，为73%。</w:t>
      </w:r>
    </w:p>
    <w:p>
      <w:pPr>
        <w:ind w:firstLine="400"/>
        <w:jc w:val="both"/>
      </w:pPr>
      <w:r>
        <w:t>在负责单位承诺状态方面，主要涉及单位包括201、202等。201单位承担了50个项目，其中正在执行的数量占其总数的90%，重点跟踪项目数量占比10%；202单位则承担了40个项目，正在执行的比例为85%，拖期项目比例为7%。</w:t>
      </w:r>
    </w:p>
    <w:p>
      <w:pPr>
        <w:ind w:firstLine="400"/>
        <w:jc w:val="both"/>
      </w:pPr>
      <w:r>
        <w:t>报告总结显示，在过去的一年中，尽管新增项目的数量有所增加，但拖期项目也相应增多。这表明在项目管理上仍需加强时间控制和资源分配的优化。此外，型号研制类项目因其较高的资金投入和执行率成为本年度的重点关注对象。未来应继续加强对该类型项目的监管和支持力度，以确保其高效推进并实现预期目标。</w:t>
      </w:r>
    </w:p>
    <w:p>
      <w:pPr>
        <w:ind w:firstLine="400"/>
        <w:jc w:val="both"/>
      </w:pPr>
      <w:r>
        <w:t>值得注意的是，预算执行情况存在一定的不一致性，例如有3个单位的预算执行数据未能及时更新或提供完整信息，这可能影响到整体数据分析的准确性。因此，在未来的报告中需要进一步完善数据收集和管理机制，提高数据透明度和完整性。</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