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总体概况</w:t>
      </w:r>
      <w:r>
        <w:t>22123123123131</w:t>
      </w:r>
    </w:p>
    <w:p>
      <w:r>
        <w:rPr>
          <w:b/>
        </w:rPr>
        <w:t>重点项目执行情况</w:t>
      </w:r>
    </w:p>
    <w:p>
      <w:pPr>
        <w:jc w:val="center"/>
      </w:pPr>
      <w:r>
        <w:rPr>
          <w:b/>
        </w:rPr>
        <w:t>项目来源情况</w:t>
      </w:r>
    </w:p>
    <w:p>
      <w:pPr>
        <w:jc w:val="center"/>
      </w:pPr>
      <w:r>
        <w:rPr>
          <w:b/>
        </w:rPr>
        <w:t>201所2021年2022年部门经费对比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