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技术方案</w:t>
      </w:r>
    </w:p>
    <w:p>
      <w:pPr/>
      <w:r>
        <w:t xml:space="preserve">固定快照构建自查：两种文件独立输出，后续编辑不得改变本次内容。</w:t>
      </w:r>
    </w:p>
    <w:p>
      <w:pPr>
        <w:pStyle w:val="Heading1"/>
      </w:pPr>
      <w:r>
        <w:t>资源组织</w:t>
      </w:r>
    </w:p>
    <w:p>
      <w:pPr/>
      <w:r>
        <w:t xml:space="preserve">人员设备以本项目确认资料为准。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0"/>
    </w:rPr>
  </w:style>
  <w:style w:type="paragraph" w:styleId="Heading2">
    <w:name w:val="heading 2"/>
    <w:basedOn w:val="Normal"/>
    <w:pPr>
      <w:outlineLvl w:val="1"/>
      <w:keepNext/>
    </w:pPr>
    <w:rPr>
      <w:b/>
      <w:sz w:val="28"/>
    </w:rPr>
  </w:style>
  <w:style w:type="paragraph" w:styleId="Heading3">
    <w:name w:val="heading 3"/>
    <w:basedOn w:val="Normal"/>
    <w:pPr>
      <w:outlineLvl w:val="2"/>
      <w:keepNext/>
    </w:pPr>
    <w:rPr>
      <w:b/>
      <w:sz w:val="26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