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20" w:line="300" w:lineRule="auto"/>
      </w:pPr>
      <w:r>
        <w:t>SYNTHETIC / 虚构测试资料：非真实招标、企业资质、投标或官方成绩。</w:t>
      </w:r>
    </w:p>
    <w:p>
      <w:pPr>
        <w:spacing w:after="120" w:line="300" w:lineRule="auto"/>
      </w:pPr>
      <w:r>
        <w:t>第1页（静态设计页码，转换后核对）</w:t>
      </w:r>
    </w:p>
    <w:p>
      <w:pPr>
        <w:spacing w:after="120" w:line="300" w:lineRule="auto"/>
        <w:pStyle w:val="Heading1"/>
      </w:pPr>
      <w:r>
        <w:t>SYNTHETIC 第14号最终技术澄清补遗 / 完全虚构</w:t>
      </w:r>
    </w:p>
    <w:p>
      <w:pPr>
        <w:spacing w:after="120" w:line="300" w:lineRule="auto"/>
      </w:pPr>
      <w:r>
        <w:t>项目：SYNTHETIC 技术正文证据映射案例。本文件由本虚构案例唯一招标人角色“SYNTHETIC资料编制组”确认并签发；该角色不是现实单位或真人。本文件仅用于软件机制验收，不是真实招标文件、签章、官方评分或工程实施依据。</w:t>
      </w:r>
    </w:p>
    <w:p>
      <w:pPr>
        <w:spacing w:after="120" w:line="300" w:lineRule="auto"/>
        <w:pStyle w:val="Heading1"/>
      </w:pPr>
      <w:r>
        <w:t>一、原件对应、现行依据与效力</w:t>
      </w:r>
    </w:p>
    <w:p>
      <w:pPr>
        <w:spacing w:after="120" w:line="300" w:lineRule="auto"/>
      </w:pPr>
      <w:r>
        <w:t>本轮唯一招标原件是文件10_technical_tender_SYNTHETIC.docx，标题“SYNTHETIC 技术正文专用招标要求 / 虚构”，项目名称“SYNTHETIC 技术正文证据映射案例”，版本为原始第1版。其DOCX原件SHA256为00bff17c89a100de4536fb4af48d4ddaf86057ca986370ba6db778ba30aea84a。原件摘要仅用于辨认原DOCX，不冒充其转换PDF的摘要。</w:t>
      </w:r>
    </w:p>
    <w:p>
      <w:pPr>
        <w:spacing w:after="120" w:line="300" w:lineRule="auto"/>
      </w:pPr>
      <w:r>
        <w:t>本轮现行权威依据仅为上述第10号原件与本第14号最终补遗；两者共同覆盖本轮全部技术要求。发生不同表述时，本第14号优先于第10号。本文件已经完成本虚构案例要求的招标人确认，自本轮资料提交前生效，无待签批或另行同意事项。</w:t>
      </w:r>
    </w:p>
    <w:p>
      <w:pPr>
        <w:spacing w:after="120" w:line="300" w:lineRule="auto"/>
      </w:pPr>
      <w:r>
        <w:t>旧第11号技术补遗已由本第14号整体吸收并替代，只是历史版本，不属于本轮现行输入，不要求另行提供。本文件已自行完整写明所有现行更正，不依赖任何未提供的补遗、附件、评分办法或外部文件。</w:t>
      </w:r>
    </w:p>
    <w:p>
      <w:pPr>
        <w:spacing w:after="120" w:line="300" w:lineRule="auto"/>
        <w:pStyle w:val="Heading1"/>
      </w:pPr>
      <w:r>
        <w:t>二、T-01工期唯一现行值及T-02、T-03</w:t>
      </w:r>
    </w:p>
    <w:p>
      <w:pPr>
        <w:spacing w:after="120" w:line="300" w:lineRule="auto"/>
      </w:pPr>
      <w:r>
        <w:t>T-01现行条文：总工期90天。第10号T-01原来的120天已经失效；凡本轮技术文件引用该旧120天工期，均统一替换为90天。120天仅可作为已废止历史说明，不是另一并行要求。该更正已经由本虚构招标人确认，不需另作批准。</w:t>
      </w:r>
    </w:p>
    <w:p>
      <w:pPr>
        <w:spacing w:after="120" w:line="300" w:lineRule="auto"/>
      </w:pPr>
      <w:r>
        <w:t>T-02现行条文：混凝土强度C30。T-03现行条文：技术措施应说明输入登记、检查、输出三个步骤。工期更正不改变T-02或T-03，也不增加商务、报价或资质要求。</w:t>
      </w:r>
    </w:p>
    <w:p>
      <w:r>
        <w:br w:type="page"/>
      </w:r>
    </w:p>
    <w:p>
      <w:pPr>
        <w:spacing w:after="120" w:line="300" w:lineRule="auto"/>
      </w:pPr>
      <w:r>
        <w:t>SYNTHETIC / 虚构测试资料：非真实招标、企业资质、投标或官方成绩。</w:t>
      </w:r>
    </w:p>
    <w:p>
      <w:pPr>
        <w:spacing w:after="120" w:line="300" w:lineRule="auto"/>
      </w:pPr>
      <w:r>
        <w:t>第2页（静态设计页码，转换后核对）</w:t>
      </w:r>
    </w:p>
    <w:p>
      <w:pPr>
        <w:spacing w:after="120" w:line="300" w:lineRule="auto"/>
        <w:pStyle w:val="Heading1"/>
      </w:pPr>
      <w:r>
        <w:t>SYNTHETIC 适用边界与人工核实责任 / 完全虚构</w:t>
      </w:r>
    </w:p>
    <w:p>
      <w:pPr>
        <w:spacing w:after="120" w:line="300" w:lineRule="auto"/>
        <w:pStyle w:val="Heading1"/>
      </w:pPr>
      <w:r>
        <w:t>三、T-04本轮不适用及工法变更边界</w:t>
      </w:r>
    </w:p>
    <w:p>
      <w:pPr>
        <w:spacing w:after="120" w:line="300" w:lineRule="auto"/>
      </w:pPr>
      <w:r>
        <w:t>T-04原条文仅在采用顶管施工时要求顶管专项技术说明。本轮唯一提交场景已确定采用明挖施工，不采用顶管；明挖与顶管在本轮场景互斥，本轮不存在施工工法变更。故T-04顶管专项技术说明明确不适用，本轮不要求提交该专项说明，不以缺少该专项说明认定缺项。</w:t>
      </w:r>
    </w:p>
    <w:p>
      <w:pPr>
        <w:spacing w:after="120" w:line="300" w:lineRule="auto"/>
      </w:pPr>
      <w:r>
        <w:t>若未来拟改为顶管，那是本轮输入之外的新情形，必须先由上述虚构招标人另行签发新版本变更文书，明确生效后才适用顶管要求；本轮T-04不会自动恢复适用，不得假设本轮已发生这种变更。</w:t>
      </w:r>
    </w:p>
    <w:p>
      <w:pPr>
        <w:spacing w:after="120" w:line="300" w:lineRule="auto"/>
        <w:pStyle w:val="Heading1"/>
      </w:pPr>
      <w:r>
        <w:t>四、T-05责任流程明确，现场事实仍未核实</w:t>
      </w:r>
    </w:p>
    <w:p>
      <w:pPr>
        <w:spacing w:after="120" w:line="300" w:lineRule="auto"/>
      </w:pPr>
      <w:r>
        <w:t>T-05现行条文：现场土层条件需人工核实后再确认支护措施。责任主体是本虚构案例的“SYNTHETIC施工技术负责人”岗位（虚构角色，不是现实个人）；核实时点为实际开挖前且支护措施批准前；核实依据应为现场土层勘察或现场记录，并由该岗位形成可追溯核实记录。</w:t>
      </w:r>
    </w:p>
    <w:p>
      <w:pPr>
        <w:spacing w:after="120" w:line="300" w:lineRule="auto"/>
      </w:pPr>
      <w:r>
        <w:t>当前输入确实没有现场土层勘察结果、现场记录或该岗位的核实确认记录，亦没有支护措施批准记录；现状为“未核实，待人工核实”。本补遗只明确责任主体、时点及程序，不提供任何地质事实，也不证明已经完成核实。</w:t>
      </w:r>
    </w:p>
    <w:p>
      <w:pPr>
        <w:spacing w:after="120" w:line="300" w:lineRule="auto"/>
      </w:pPr>
      <w:r>
        <w:t>未取得上述核实依据与确认记录时，不得确认或批准支护措施，不得据此进行依赖土层核实的实施。本轮文件核查中T-05的现场事实仍信息不足、待人工核实；不得推定已满足、已批准或已由真人签收。后续只有真实依据和明确人工确认齐备，才可另行变更该事实状态。责任流程明确与现场事实未知是不同事项。</w:t>
      </w:r>
    </w:p>
    <w:p>
      <w:pPr>
        <w:spacing w:after="120" w:line="300" w:lineRule="auto"/>
        <w:pStyle w:val="Heading1"/>
      </w:pPr>
      <w:r>
        <w:t>五、仅技术符合性，不采用评分与额外废标机制</w:t>
      </w:r>
    </w:p>
    <w:p>
      <w:pPr>
        <w:spacing w:after="120" w:line="300" w:lineRule="auto"/>
      </w:pPr>
      <w:r>
        <w:t>本虚构项目本轮只进行上述技术要求的符合性核查，不采用评分法；评分项、分值、评分表和成绩均不适用，不存在另行未提供的评分办法。本轮没有额外的废标条件或隐含废标条款，不要求从空白处补造条款。实际技术不一致或缺项须如实记录，但本文件不设置官方扣分、废标处罚或真实资格认定。</w:t>
      </w:r>
    </w:p>
    <w:p>
      <w:pPr>
        <w:spacing w:after="120" w:line="300" w:lineRule="auto"/>
      </w:pPr>
      <w:r>
        <w:t>所有文字均为SYNTHETIC软件机制测试材料，非模型质量标签、非真人业务签收。文书内的虚构效力设定不能替代应用的真实上传、转换、来源发布、证据核对和冻结流程；任何实际解析缺口或来源阻断仍须保留。</w:t>
      </w:r>
    </w:p>
    <w:sectPr>
      <w:headerReference w:type="default" r:id="fixture_header"/>
      <w:footerReference w:type="default" r:id="fixture_footer"/>
      <w:pgSz w:w="11906" w:h="16838"/>
      <w:pgMar w:top="1134" w:right="1134" w:bottom="1134" w:left="1134" w:header="500" w:footer="500" w:gutter="0"/>
      <w:pgNumType w:fmt="decimal" w:start="1"/>
    </w:sectPr>
  </w:body>
</w:document>
</file>

<file path=word/footer.xml><?xml version="1.0" encoding="utf-8"?>
<w:ftr xmlns:w="http://schemas.openxmlformats.org/wordprocessingml/2006/main">
  <w:p>
    <w:pPr>
      <w:spacing w:after="120" w:line="300" w:lineRule="auto"/>
    </w:pPr>
    <w:r>
      <w:t>SYNTHETIC · 虚构资料</w:t>
    </w:r>
  </w:p>
</w:ftr>
</file>

<file path=word/header.xml><?xml version="1.0" encoding="utf-8"?>
<w:hdr xmlns:w="http://schemas.openxmlformats.org/wordprocessingml/2006/main">
  <w:p>
    <w:pPr>
      <w:spacing w:after="120" w:line="300" w:lineRule="auto"/>
    </w:pPr>
    <w:r>
      <w:t>SYNTHETIC · 合成试验工程 · 禁用于真实投标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 CJK SC" w:hAnsi="Noto Sans CJK SC" w:eastAsia="Noto Sans CJK SC"/>
      <w:sz w:val="22"/>
      <w:lang w:val="zh-CN" w:eastAsia="zh-CN"/>
    </w:rPr>
  </w:style>
  <w:style w:type="paragraph" w:styleId="Heading1">
    <w:name w:val="heading 1"/>
    <w:basedOn w:val="Normal"/>
    <w:rPr>
      <w:b/>
    </w:rPr>
    <w:pPr>
      <w:keepNext/>
    </w:pPr>
  </w:style>
</w:styles>
</file>

<file path=word/_rels/document.xml.rels><?xml version='1.0' encoding='utf-8'?>
<Relationships xmlns="http://schemas.openxmlformats.org/package/2006/relationships"><Relationship Id="fixture_styles" Type="http://schemas.openxmlformats.org/officeDocument/2006/relationships/styles" Target="styles.xml" /><Relationship Id="fixture_settings" Type="http://schemas.openxmlformats.org/officeDocument/2006/relationships/settings" Target="settings.xml" /><Relationship Id="fixture_header" Type="http://schemas.openxmlformats.org/officeDocument/2006/relationships/header" Target="header.xml" /><Relationship Id="fixture_footer" Type="http://schemas.openxmlformats.org/officeDocument/2006/relationships/footer" Target="footer.xml" /></Relationships>
</file>