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独立施工组织设计。施工工期90天，质量目标合格。2e817a3efcaf47008d3bbef1e80a3b9b</w:t>
      </w:r>
    </w:p>
  </w:body>
</w:document>
</file>