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独立施工组织设计。施工工期90天，质量目标合格。610c09b4102e4ee6b5a0ec1e7ea82042</w:t>
      </w:r>
    </w:p>
  </w:body>
</w:document>
</file>