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浏览器一期融合验收-合成资料 施组评审报告</w:t>
      </w:r>
    </w:p>
    <w:p>
      <w:r>
        <w:t>招标编号：—　标段：—　评审轮次：第 1 轮　生成时间：2026-10-18 10:32</w:t>
      </w:r>
    </w:p>
    <w:p>
      <w:r>
        <w:t>评审依据：共 2 条招标规则，其中 2 条已人工确认，0 条尚未确认（未确认的规则以模型提取的原文为准，结论供参考）。</w:t>
      </w:r>
    </w:p>
    <w:p>
      <w:pPr>
        <w:pStyle w:val="Heading1"/>
      </w:pPr>
      <w:r>
        <w:t>一、废标／否决与强制性要求</w:t>
      </w:r>
    </w:p>
    <w:p>
      <w:r>
        <w:t>共 1 条：满足 0，违反 1，无法判断 0，检查失败 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条款</w:t>
            </w:r>
          </w:p>
        </w:tc>
        <w:tc>
          <w:tcPr>
            <w:tcW w:type="dxa" w:w="2160"/>
          </w:tcPr>
          <w:p>
            <w:r>
              <w:t>判定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强制性要求</w:t>
            </w:r>
          </w:p>
        </w:tc>
        <w:tc>
          <w:tcPr>
            <w:tcW w:type="dxa" w:w="2160"/>
          </w:tcPr>
          <w:p>
            <w:r>
              <w:t>施工总工期不得超过180日历天，工程质量必须达到合格。</w:t>
            </w:r>
          </w:p>
        </w:tc>
        <w:tc>
          <w:tcPr>
            <w:tcW w:type="dxa" w:w="2160"/>
          </w:tcPr>
          <w:p>
            <w:r>
              <w:t>违反（规则未确认）</w:t>
            </w:r>
          </w:p>
        </w:tc>
        <w:tc>
          <w:tcPr>
            <w:tcW w:type="dxa" w:w="2160"/>
          </w:tcPr>
          <w:p>
            <w:r>
              <w:t>正文明确工期240日历天，超过规则上限180日历天，构成违反；质量目标合格满足要求。</w:t>
            </w:r>
          </w:p>
        </w:tc>
      </w:tr>
    </w:tbl>
    <w:p>
      <w:pPr>
        <w:pStyle w:val="Heading1"/>
      </w:pPr>
      <w:r>
        <w:t>二、问题清单</w:t>
      </w:r>
    </w:p>
    <w:p>
      <w:pPr>
        <w:pStyle w:val="Heading2"/>
      </w:pPr>
      <w:r>
        <w:t>强制性要求未满足（1）</w:t>
      </w:r>
    </w:p>
    <w:p>
      <w:pPr>
        <w:pStyle w:val="ListBullet"/>
      </w:pPr>
      <w:r>
        <w:rPr>
          <w:color w:val="C01F2F"/>
        </w:rPr>
        <w:t>[待复核] 正文施工总工期为240日历天，超过规则要求的180日历天上限，属于未实质性响应。</w:t>
      </w:r>
    </w:p>
    <w:p>
      <w:r>
        <w:t xml:space="preserve">　第 1 页：第一章 施工进度计划</w:t>
        <w:br/>
        <w:t>施工总工期为240日历天，准备20天、管线100天、基层80天、面层40天。关键线路为准备、管线、基层、面层；配置2个班组和2台挖掘机。</w:t>
      </w:r>
    </w:p>
    <w:p>
      <w:r>
        <w:t xml:space="preserve">　第 1 页：第一章 强制性要求</w:t>
        <w:br/>
        <w:t>施工总工期不得超过180日历天，工程质量必须达到合格。</w:t>
      </w:r>
    </w:p>
    <w:p>
      <w:pPr>
        <w:pStyle w:val="Heading2"/>
      </w:pPr>
      <w:r>
        <w:t>范围残留（1）</w:t>
      </w:r>
    </w:p>
    <w:p>
      <w:pPr>
        <w:pStyle w:val="ListBullet"/>
      </w:pPr>
      <w:r>
        <w:t>[待复核] 正文在第 1 页提到“关键线路”，招标文件及补遗中没有出现，可能是其他项目的模板残留，或超出本项目招标范围。</w:t>
      </w:r>
    </w:p>
    <w:p>
      <w:r>
        <w:t xml:space="preserve">　第 1 页：第一章 施工进度计划</w:t>
        <w:br/>
        <w:t>施工总工期为240日历天，准备20天、管线100天、基层80天、面层40天。关键线路为准备、管线、基层、面层；配置2个班组和2台挖掘机。</w:t>
      </w:r>
    </w:p>
    <w:p>
      <w:pPr>
        <w:pStyle w:val="Heading1"/>
      </w:pPr>
      <w:r>
        <w:t>三、评分预测</w:t>
      </w:r>
    </w:p>
    <w:p>
      <w:r>
        <w:t>技术标估计（未校准）8 分（区间 8–8，评分条款合计 8 分）。基于招标文件评分条款与正文的逐项评估，尚未用官方成绩校准；只用于排出可能的失分点，不是对结果的承诺。</w:t>
      </w:r>
    </w:p>
    <w:p>
      <w:r>
        <w:t>在线对照：尚无登记的官方成绩可对照。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评分条款</w:t>
            </w:r>
          </w:p>
        </w:tc>
        <w:tc>
          <w:tcPr>
            <w:tcW w:type="dxa" w:w="2880"/>
          </w:tcPr>
          <w:p>
            <w:r>
              <w:t>估计失分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施工进度计划合理可行的得8分，计划不合理的得0分。（满分 8 分，判为“合理可行”档）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正文明确了总工期240日历天，并按准备20天、管线100天、基层80天、面层40天分解，各阶段合计与总工期一致；同时明确关键线路为准备、管线、基层、面层，并配置2个班组和2台挖掘机，进度计划在工序衔接和资源配置上合理可行，符合评分标准中“合理可行”的要求，得满分8分。；具体性与有效性（有依据）：总工期240天与准备、管线、基层、面层各阶段天数及关键线路、班组和挖掘机配置相互衔接，构成可执行的进度安排。；前后一致性（有依据）：各阶段天数之和为240天，与总工期一致；关键线路与所列工序顺序一致。</w:t>
            </w:r>
          </w:p>
        </w:tc>
      </w:tr>
    </w:tbl>
    <w:p>
      <w:pPr>
        <w:pStyle w:val="Heading1"/>
      </w:pPr>
      <w:r>
        <w:t>四、报价</w:t>
      </w:r>
    </w:p>
    <w:p>
      <w:r>
        <w:t>尚未填写评标价规则。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