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1614F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汇联易-MB对接业务方案</w:t>
      </w:r>
    </w:p>
    <w:p w14:paraId="3335B698">
      <w:pPr>
        <w:spacing w:before="480" w:after="480" w:line="288" w:lineRule="auto"/>
        <w:ind w:left="0"/>
        <w:jc w:val="center"/>
      </w:pPr>
      <w:bookmarkStart w:id="9" w:name="_GoBack"/>
      <w:bookmarkEnd w:id="9"/>
      <w:r>
        <w:rPr>
          <w:rFonts w:ascii="Arial" w:hAnsi="Arial" w:eastAsia="等线" w:cs="Arial"/>
          <w:b/>
          <w:sz w:val="52"/>
        </w:rPr>
        <w:t>（外部用餐）</w:t>
      </w:r>
    </w:p>
    <w:p w14:paraId="3B6A75A4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一、用餐场景</w:t>
      </w:r>
      <w:bookmarkEnd w:id="0"/>
    </w:p>
    <w:p w14:paraId="226499A2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（一）场景划分</w:t>
      </w:r>
      <w:bookmarkEnd w:id="1"/>
    </w:p>
    <w:p w14:paraId="7440DC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1.会议用餐--只有美团平台用餐</w:t>
      </w:r>
    </w:p>
    <w:p w14:paraId="28D101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2.非会拜访用餐--只有美团平台用餐，已确认取消非美团平台用餐</w:t>
      </w:r>
    </w:p>
    <w:p w14:paraId="4FAC59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3.零售会议用餐--只有美团平台用餐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E6666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9B7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用餐场景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4CB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MB费用类型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222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汇联易费用类型</w:t>
            </w:r>
          </w:p>
        </w:tc>
      </w:tr>
      <w:tr w14:paraId="5C30DB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005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会议用餐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9DF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美团用餐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C7E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业务招待费-NE</w:t>
            </w:r>
          </w:p>
        </w:tc>
      </w:tr>
      <w:tr w14:paraId="03262D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D7C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非会拜访用餐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8E5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美团用餐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DED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业务招待费-NE</w:t>
            </w:r>
          </w:p>
        </w:tc>
      </w:tr>
      <w:tr w14:paraId="6D2139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F7C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零售会议用餐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931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美团用餐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E7E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业务招待费-NE</w:t>
            </w:r>
          </w:p>
        </w:tc>
      </w:tr>
    </w:tbl>
    <w:p w14:paraId="79CEE018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（二）逻辑要点</w:t>
      </w:r>
      <w:bookmarkEnd w:id="2"/>
    </w:p>
    <w:p w14:paraId="0E5EE5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1.费用上新增字段</w:t>
      </w:r>
      <w:r>
        <w:rPr>
          <w:rFonts w:ascii="Arial" w:hAnsi="Arial" w:eastAsia="等线" w:cs="Arial"/>
          <w:color w:val="D83931"/>
          <w:sz w:val="22"/>
        </w:rPr>
        <w:t>“用餐场景”</w:t>
      </w:r>
      <w:r>
        <w:rPr>
          <w:rFonts w:ascii="Arial" w:hAnsi="Arial" w:eastAsia="等线" w:cs="Arial"/>
          <w:sz w:val="22"/>
        </w:rPr>
        <w:t>，“实际参与人数”，关联申请单后，字段值从申请单表头带入，且不可修改</w:t>
      </w:r>
    </w:p>
    <w:p w14:paraId="60ED87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2.费用上“附件”字段，关联申请单后，从申请单表头带入2个附件，一个为</w:t>
      </w:r>
      <w:r>
        <w:rPr>
          <w:rFonts w:ascii="Arial" w:hAnsi="Arial" w:eastAsia="等线" w:cs="Arial"/>
          <w:color w:val="D83931"/>
          <w:sz w:val="22"/>
        </w:rPr>
        <w:t>水单（新接口），一个为签到表（原接口）</w:t>
      </w:r>
      <w:r>
        <w:rPr>
          <w:rFonts w:ascii="Arial" w:hAnsi="Arial" w:eastAsia="等线" w:cs="Arial"/>
          <w:sz w:val="22"/>
        </w:rPr>
        <w:t>，且不可修改</w:t>
      </w:r>
    </w:p>
    <w:p w14:paraId="77D79A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3.费用新增上“发生日期/消费日期”字段</w:t>
      </w:r>
      <w:r>
        <w:rPr>
          <w:rFonts w:ascii="Arial" w:hAnsi="Arial" w:eastAsia="等线" w:cs="Arial"/>
          <w:color w:val="D83931"/>
          <w:sz w:val="22"/>
        </w:rPr>
        <w:t>（非原费用上的发生日期）</w:t>
      </w:r>
      <w:r>
        <w:rPr>
          <w:rFonts w:ascii="Arial" w:hAnsi="Arial" w:eastAsia="等线" w:cs="Arial"/>
          <w:sz w:val="22"/>
        </w:rPr>
        <w:t>，取美团订单支付时间，即实际消费日期</w:t>
      </w:r>
    </w:p>
    <w:p w14:paraId="49B7FF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4.会议系统仅保留【美团用餐】，内部已确认</w:t>
      </w:r>
    </w:p>
    <w:p w14:paraId="4EE655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5.取消报销表头申请关联，只在费用上关联申请</w:t>
      </w:r>
    </w:p>
    <w:p w14:paraId="4E57F0CD">
      <w:pPr>
        <w:spacing w:before="120" w:after="120" w:line="288" w:lineRule="auto"/>
        <w:ind w:left="0"/>
        <w:jc w:val="left"/>
      </w:pPr>
      <w:r>
        <w:drawing>
          <wp:inline distT="0" distB="0" distL="0" distR="0">
            <wp:extent cx="5257800" cy="3933825"/>
            <wp:effectExtent l="0" t="0" r="0" b="317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8F9D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二、费用管控规则</w:t>
      </w:r>
      <w:bookmarkEnd w:id="3"/>
    </w:p>
    <w:p w14:paraId="176E79E5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（一）【会议用餐】</w:t>
      </w:r>
      <w:bookmarkEnd w:id="4"/>
    </w:p>
    <w:p w14:paraId="3B97823C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按照费用上“实际参与人数”控制，300/人（按照费用归属人职级区分不同标准）（强控，后续可调，可能涉及流程调整）</w:t>
      </w:r>
    </w:p>
    <w:p w14:paraId="3D4DB267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（二）【非会拜访用餐】</w:t>
      </w:r>
      <w:bookmarkEnd w:id="5"/>
    </w:p>
    <w:p w14:paraId="21C434B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按照费用上“实际参与人数”控制300/人（按照费用归属人职级区分不同标准），按照费用上“发生日期”控制月限额3000（强控，后续可调，可能涉及流程调整）</w:t>
      </w:r>
    </w:p>
    <w:p w14:paraId="5FFD80ED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（三）【零售会议用餐】</w:t>
      </w:r>
      <w:bookmarkEnd w:id="6"/>
    </w:p>
    <w:p w14:paraId="2312A82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按照费用上“实际参与人数”控制100/人（按照费用归属人职级区分不同标准），按照费用上“发生日期”控制月限额2000（强控，后续可调，可能涉及流程调整）</w:t>
      </w:r>
    </w:p>
    <w:p w14:paraId="4E0925E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b/>
          <w:sz w:val="22"/>
        </w:rPr>
        <w:t>所有用餐类型，需要控制费用金额&lt;=信用卡金额、发票金额</w:t>
      </w:r>
    </w:p>
    <w:p w14:paraId="4937026B">
      <w:pPr>
        <w:spacing w:before="120" w:after="120" w:line="288" w:lineRule="auto"/>
        <w:ind w:left="0" w:firstLine="0"/>
        <w:jc w:val="left"/>
      </w:pPr>
    </w:p>
    <w:p w14:paraId="56DD6072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三、项目重要事项</w:t>
      </w:r>
      <w:bookmarkEnd w:id="7"/>
    </w:p>
    <w:p w14:paraId="7A18B1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1.是否确认取消非美团的平台用餐-已完成</w:t>
      </w:r>
    </w:p>
    <w:p w14:paraId="492283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-已确认取消</w:t>
      </w:r>
    </w:p>
    <w:p w14:paraId="2D6E3B37">
      <w:pPr>
        <w:spacing w:before="120" w:after="120" w:line="288" w:lineRule="auto"/>
        <w:ind w:left="0"/>
        <w:jc w:val="left"/>
      </w:pPr>
    </w:p>
    <w:p w14:paraId="182455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2.系统现有业务招待费可以用人员范围-</w:t>
      </w:r>
      <w:r>
        <w:rPr>
          <w:rFonts w:ascii="Arial" w:hAnsi="Arial" w:eastAsia="等线" w:cs="Arial"/>
          <w:color w:val="D83931"/>
          <w:sz w:val="22"/>
          <w:shd w:val="clear" w:fill="FFF67A"/>
        </w:rPr>
        <w:t>待确认</w:t>
      </w:r>
    </w:p>
    <w:p w14:paraId="3C940C2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-业务招待费，费用上加可见人员：非BU-地区经理及以上（规则未明确），特批流程通过后再给权限（外部用餐上线，内部用餐还未上线，中间临时过渡使用费用）</w:t>
      </w:r>
      <w:r>
        <w:rPr>
          <w:rFonts w:ascii="Arial" w:hAnsi="Arial" w:eastAsia="等线" w:cs="Arial"/>
          <w:color w:val="D83931"/>
          <w:sz w:val="22"/>
          <w:shd w:val="clear" w:fill="FFF67A"/>
        </w:rPr>
        <w:t>-切换时间待确认</w:t>
      </w:r>
    </w:p>
    <w:p w14:paraId="75E85D6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业务招待费-NE，美团消费接口同步后报销，不区分可见，有申请单即可报销</w:t>
      </w:r>
    </w:p>
    <w:p w14:paraId="26FA35D4">
      <w:pPr>
        <w:spacing w:before="120" w:after="120" w:line="288" w:lineRule="auto"/>
        <w:ind w:left="0"/>
        <w:jc w:val="left"/>
      </w:pPr>
    </w:p>
    <w:p w14:paraId="4654BA5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3.美团实际用餐时间是否能提供到汇联易-已完成</w:t>
      </w:r>
    </w:p>
    <w:p w14:paraId="68AE87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-可以同步，美团订单支付时间</w:t>
      </w:r>
    </w:p>
    <w:p w14:paraId="584DAEF8">
      <w:pPr>
        <w:spacing w:before="120" w:after="120" w:line="288" w:lineRule="auto"/>
        <w:ind w:left="0"/>
        <w:jc w:val="left"/>
      </w:pPr>
    </w:p>
    <w:p w14:paraId="7B49D6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4.MB接口文档提供</w:t>
      </w:r>
    </w:p>
    <w:p w14:paraId="63334F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4.1用餐场景取值参数-汇联易根据MB提供内容做映射</w:t>
      </w:r>
    </w:p>
    <w:p w14:paraId="4BAE10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4.2水单</w:t>
      </w:r>
    </w:p>
    <w:p w14:paraId="5179497C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866900"/>
            <wp:effectExtent l="0" t="0" r="0" b="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9D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4.3美团订单支付时间</w:t>
      </w:r>
    </w:p>
    <w:p w14:paraId="6AB3946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152650"/>
            <wp:effectExtent l="0" t="0" r="0" b="635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6B7C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4.4签到表（两个附件）</w:t>
      </w:r>
    </w:p>
    <w:p w14:paraId="3C3CC4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线下-ok，获取附件</w:t>
      </w:r>
    </w:p>
    <w:p w14:paraId="3195BB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  <w:shd w:val="clear" w:fill="FFF67A"/>
        </w:rPr>
        <w:t>线上-获取数据后汇联易拼接文本</w:t>
      </w:r>
    </w:p>
    <w:p w14:paraId="7B4CE9D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305050"/>
            <wp:effectExtent l="0" t="0" r="0" b="6350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E8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  <w:shd w:val="clear" w:fill="FFF67A"/>
        </w:rPr>
        <w:t>5.MB提供所有会议类型枚举值，以及对应的用餐场景-ok</w:t>
      </w:r>
    </w:p>
    <w:p w14:paraId="20F18C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6.汇联易申请单</w:t>
      </w:r>
    </w:p>
    <w:p w14:paraId="21EE2A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参会人数修改取值，取 实际可报销人数，用此人数作为人均标准计算依据</w:t>
      </w:r>
    </w:p>
    <w:p w14:paraId="4ED9C007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562225"/>
            <wp:effectExtent l="0" t="0" r="0" b="3175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EE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7.汇联易费用</w:t>
      </w:r>
    </w:p>
    <w:p w14:paraId="02256F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删除：报销人数、内部参与人、外部参与人</w:t>
      </w:r>
    </w:p>
    <w:p w14:paraId="1ACA7D67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133725"/>
            <wp:effectExtent l="0" t="0" r="0" b="3175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793E6">
      <w:pPr>
        <w:spacing w:before="120" w:after="120" w:line="288" w:lineRule="auto"/>
        <w:ind w:left="0"/>
        <w:jc w:val="left"/>
      </w:pPr>
    </w:p>
    <w:p w14:paraId="606DD0FD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四、项目计划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5"/>
        <w:gridCol w:w="4005"/>
        <w:gridCol w:w="1245"/>
        <w:gridCol w:w="1605"/>
        <w:gridCol w:w="780"/>
      </w:tblGrid>
      <w:tr w14:paraId="077520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E18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7F7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任务名称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489B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开始日期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0890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结束日期</w:t>
            </w: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4EBF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b/>
                <w:sz w:val="22"/>
              </w:rPr>
              <w:t>状态</w:t>
            </w:r>
          </w:p>
        </w:tc>
      </w:tr>
      <w:tr w14:paraId="766759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B24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C54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方案沟通确认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2D80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1/7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C1A2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1/9</w:t>
            </w: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E39D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已完成</w:t>
            </w:r>
          </w:p>
        </w:tc>
      </w:tr>
      <w:tr w14:paraId="664158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3C0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D3F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MB系统对接字段调整开发（签到表+消费人数）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3E77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1/12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2F2F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1/14</w:t>
            </w: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FC0C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已完成</w:t>
            </w:r>
          </w:p>
        </w:tc>
      </w:tr>
      <w:tr w14:paraId="3CBFDB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D83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79F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MB系统对接-水单获取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3777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trike/>
                <w:sz w:val="22"/>
              </w:rPr>
              <w:t>1/14</w:t>
            </w:r>
          </w:p>
          <w:p w14:paraId="707A950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1/22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D4E9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trike/>
                <w:sz w:val="22"/>
              </w:rPr>
              <w:t>1/21</w:t>
            </w:r>
          </w:p>
          <w:p w14:paraId="34E2859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1/27</w:t>
            </w: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B6A9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进行中</w:t>
            </w:r>
          </w:p>
          <w:p w14:paraId="1D6703E6">
            <w:pPr>
              <w:spacing w:before="120" w:after="120" w:line="288" w:lineRule="auto"/>
              <w:ind w:left="0"/>
              <w:jc w:val="center"/>
            </w:pPr>
          </w:p>
        </w:tc>
      </w:tr>
      <w:tr w14:paraId="55080E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632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A02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汇联易内部校验控制配置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E45B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1/22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1535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1/26</w:t>
            </w: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02FA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进行中</w:t>
            </w:r>
          </w:p>
        </w:tc>
      </w:tr>
      <w:tr w14:paraId="666F60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021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518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汇联易内部校验控制开发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18AE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1/22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43D3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1/27</w:t>
            </w: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97E8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进行中</w:t>
            </w:r>
          </w:p>
        </w:tc>
      </w:tr>
      <w:tr w14:paraId="552620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600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A85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美团&amp;MB验证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485E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D83931"/>
                <w:sz w:val="22"/>
              </w:rPr>
              <w:t>1/22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4D5E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D83931"/>
                <w:sz w:val="22"/>
              </w:rPr>
              <w:t>1/27</w:t>
            </w: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7AF3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70E5A1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706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  <w:p w14:paraId="4A102F1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230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汇联易&amp;MB联调测试</w:t>
            </w:r>
          </w:p>
          <w:p w14:paraId="7A16BC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D83931"/>
                <w:sz w:val="22"/>
              </w:rPr>
              <w:t>(前置条件，MB内存在可获取数据)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EECC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trike/>
                <w:sz w:val="22"/>
              </w:rPr>
              <w:t>1/26</w:t>
            </w:r>
          </w:p>
          <w:p w14:paraId="1D97910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color w:val="D83931"/>
                <w:sz w:val="22"/>
              </w:rPr>
              <w:t>1/28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DE06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1/29</w:t>
            </w:r>
          </w:p>
          <w:p w14:paraId="44EEE26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4437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1C7E45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A02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A3D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上线部署-具体时间待同步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EA32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1/30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DD9B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1/30</w:t>
            </w: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EB4F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  <w:tr w14:paraId="0E370A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00B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4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DFB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系统上线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9CEB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2/2</w:t>
            </w:r>
          </w:p>
        </w:tc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F26C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A038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未开始</w:t>
            </w:r>
          </w:p>
        </w:tc>
      </w:tr>
    </w:tbl>
    <w:p w14:paraId="7B6353E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原计划提供接口文档时间2026-01-12，实际提供时间2026-01-15</w:t>
      </w:r>
    </w:p>
    <w:p w14:paraId="3488FA6D">
      <w:pPr>
        <w:spacing w:before="120" w:after="120" w:line="288" w:lineRule="auto"/>
        <w:ind w:left="0"/>
        <w:jc w:val="left"/>
      </w:pPr>
    </w:p>
    <w:p w14:paraId="1170CAF8">
      <w:pPr>
        <w:spacing w:before="120" w:after="120" w:line="288" w:lineRule="auto"/>
        <w:ind w:left="0"/>
        <w:jc w:val="left"/>
      </w:pPr>
    </w:p>
    <w:p w14:paraId="12D86F2A">
      <w:pPr>
        <w:spacing w:before="120" w:after="120" w:line="288" w:lineRule="auto"/>
        <w:ind w:left="0"/>
        <w:jc w:val="left"/>
      </w:pPr>
    </w:p>
    <w:p w14:paraId="03CB1C9D">
      <w:pPr>
        <w:spacing w:before="120" w:after="120" w:line="288" w:lineRule="auto"/>
        <w:ind w:left="0"/>
        <w:jc w:val="left"/>
      </w:pPr>
    </w:p>
    <w:p w14:paraId="4A997EBA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9ECB5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8293ED">
    <w:r>
      <w:pict>
        <v:shape id="PowerPlusWaterMarkObject1" o:spid="_x0000_s2049" o:spt="136" type="#_x0000_t136" style="position:absolute;left:0pt;height:24pt;width:120pt;mso-position-horizontal:center;mso-position-horizontal-relative:margin;mso-position-vertical:center;mso-position-vertical-relative:margin;rotation:20643840f;z-index:-251657216;mso-width-relative:page;mso-height-relative:page;" fillcolor="#000000" filled="t" stroked="f" coordsize="21600,21600">
          <v:path/>
          <v:fill on="t" opacity="19661f" focussize="0,0"/>
          <v:stroke on="f"/>
          <v:imagedata o:title=""/>
          <o:lock v:ext="edit"/>
          <v:textpath on="t" fitpath="t" trim="f" xscale="f" string=" 李艾莲 8060" style="font-family:Lantinghei SC Demibold;font-size:20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hdrShapeDefaults>
    <o:shapelayout v:ext="edit">
      <o:idmap v:ext="edit" data="2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398804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1179</Words>
  <Characters>1325</Characters>
  <TotalTime>0</TotalTime>
  <ScaleCrop>false</ScaleCrop>
  <LinksUpToDate>false</LinksUpToDate>
  <CharactersWithSpaces>1326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2026-01-22T15:35:00Z</dcterms:created>
  <dc:creator>Apache POI</dc:creator>
  <cp:lastModifiedBy>Lililiailian</cp:lastModifiedBy>
  <dcterms:modified xsi:type="dcterms:W3CDTF">2026-01-22T15:35:32Z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eyJoZGlkIjoiYjg5ZGU5ZmU1Y2VkMWMwN2RlM2Q3ZDYwNThkYjNmZmYiLCJ1c2VySWQiOiI2NjU3NDEyNjEifQ==</vt:lpwstr>
  </property>
  <property fmtid="{D5CDD505-2E9C-101B-9397-08002B2CF9AE}" pid="3" name="KSOProductBuildVer">
    <vt:lpwstr>2052-12.1.0.24657</vt:lpwstr>
  </property>
  <property fmtid="{D5CDD505-2E9C-101B-9397-08002B2CF9AE}" pid="4" name="ICV">
    <vt:lpwstr>C5151FBA5EFB46DC8EC1BFBCD8D7209A_12</vt:lpwstr>
  </property>
</Properties>
</file>