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spacing w:after="160"/>
        <w:jc w:val="left"/>
      </w:pPr>
      <w:r>
        <w:rPr>
          <w:rFonts w:ascii="Times New Roman" w:hAnsi="Times New Roman"/>
          <w:b/>
          <w:color w:val="000000"/>
          <w:sz w:val="20"/>
        </w:rPr>
        <w:t>Table S1. Hyperparameter search spaces for the six regression models.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629"/>
        <w:gridCol w:w="5184"/>
        <w:gridCol w:w="2621"/>
      </w:tblGrid>
      <w:tr>
        <w:trPr>
          <w:tblHeader/>
          <w:cantSplit/>
        </w:trPr>
        <w:tc>
          <w:tcPr>
            <w:tcW w:type="dxa" w:w="2088"/>
            <w:shd w:fill="DCE6F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3629"/>
            <w:shd w:fill="DCE6F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sz w:val="18"/>
              </w:rPr>
              <w:t>Hyperparameter</w:t>
            </w:r>
          </w:p>
        </w:tc>
        <w:tc>
          <w:tcPr>
            <w:tcW w:type="dxa" w:w="5184"/>
            <w:shd w:fill="DCE6F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sz w:val="18"/>
              </w:rPr>
              <w:t>Search space</w:t>
            </w:r>
          </w:p>
        </w:tc>
        <w:tc>
          <w:tcPr>
            <w:tcW w:type="dxa" w:w="2621"/>
            <w:shd w:fill="DCE6F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sz w:val="18"/>
              </w:rPr>
              <w:t>Sampling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XGBoost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n_estimators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100–1200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Integer, uniform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XGBoost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max_depth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2–7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Integer, uniform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XGBoost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learning_rate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0.005–0.2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Float, log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XGBoost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subsample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0.6–1.0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Float, uniform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XGBoost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colsample_bytree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0.6–1.0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Float, uniform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XGBoost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min_child_weight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0.5–20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Float, log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XGBoost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gamma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0–2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Float, uniform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XGBoost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reg_alpha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1e−8–10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Float, log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XGBoost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reg_lambda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0.1–50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Float, log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GBDT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n_estimators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50–600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Integer, uniform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GBDT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learning_rate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0.005–0.15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Float, log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GBDT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max_depth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1–5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Integer, uniform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GBDT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min_samples_split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4–40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Integer, uniform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GBDT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min_samples_leaf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2–25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Integer, uniform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GBDT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subsample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0.6–1.0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Float, uniform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GBDT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max_features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sqrt; log2; None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Categorical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AdaBoost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base_max_depth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1–6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Integer, uniform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AdaBoost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base_min_samples_split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4–30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Integer, uniform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AdaBoost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base_min_samples_leaf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2–20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Integer, uniform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AdaBoost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n_estimators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50–500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Integer, uniform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AdaBoost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learning_rate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0.005–0.3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Float, log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AdaBoost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loss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linear; square; exponential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Categorical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Random Forest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n_estimators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300–1200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Integer, uniform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Random Forest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max_depth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4–30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Integer, uniform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Random Forest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min_samples_split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4–30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Integer, uniform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Random Forest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min_samples_leaf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1–20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Integer, uniform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Random Forest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max_features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0.3–1.0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Float, uniform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Random Forest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max_samples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0.6–1.0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Float, uniform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LightGBM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max_depth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2–10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Integer, uniform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LightGBM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n_estimators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100–1200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Integer, uniform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LightGBM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learning_rate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0.005–0.2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Float, log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LightGBM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num_leaves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4–min(128, 2^max_depth)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Integer, conditional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LightGBM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min_child_samples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5–50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Integer, uniform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LightGBM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min_split_gain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0–1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Float, uniform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LightGBM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subsample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0.6–1.0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Float, uniform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LightGBM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colsample_bytree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0.6–1.0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Float, uniform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LightGBM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reg_alpha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1e−8–10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Float, log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LightGBM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reg_lambda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1e−8–50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Float, log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ANN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hidden_layer_sizes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(32); (64); (64, 32); (128, 64)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Categorical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ANN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activation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relu; tanh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Categorical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ANN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alpha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1e−5–0.1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Float, log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ANN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learning_rate_init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1e−4–0.01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C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Float, log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ANN</w:t>
            </w:r>
          </w:p>
        </w:tc>
        <w:tc>
          <w:tcPr>
            <w:tcW w:type="dxa" w:w="36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batch_size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16; 32; 64</w:t>
            </w:r>
          </w:p>
        </w:tc>
        <w:tc>
          <w:tcPr>
            <w:tcW w:type="dxa" w:w="26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17"/>
              </w:rPr>
              <w:t>Categorical</w:t>
            </w:r>
          </w:p>
        </w:tc>
      </w:tr>
    </w:tbl>
    <w:p>
      <w:pPr>
        <w:spacing w:before="100" w:after="0"/>
      </w:pPr>
      <w:r>
        <w:rPr>
          <w:sz w:val="17"/>
        </w:rPr>
        <w:t>Note. Each model–target combination was optimized with 100 Optuna TPE trials (seed = 42) using the same five publication-grouped validation folds. ‘Log’ denotes log-uniform sampling on the stated interval.</w:t>
      </w:r>
    </w:p>
    <w:p>
      <w:pPr>
        <w:spacing w:before="100" w:after="0"/>
      </w:pPr>
      <w:r>
        <w:rPr>
          <w:sz w:val="17"/>
        </w:rPr>
        <w:t>For LightGBM, the upper bound for num_leaves depended on the sampled max_depth. In AdaBoost, the base_* parameters refer to the DecisionTreeRegressor base estimator. Parameters fixed in the code were not part of the search space.</w:t>
      </w:r>
    </w:p>
    <w:sectPr w:rsidR="00FC693F" w:rsidRPr="0006063C" w:rsidSect="00034616">
      <w:pgSz w:w="15840" w:h="122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