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557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Style w:val="6"/>
          <w:rFonts w:hint="default" w:ascii="Times New Roman Regular" w:hAnsi="Times New Roman Regular" w:eastAsia="黑体" w:cs="Times New Roman Regular"/>
          <w:b w:val="0"/>
          <w:bCs/>
          <w:sz w:val="28"/>
          <w:szCs w:val="28"/>
          <w:lang w:val="en-US" w:eastAsia="zh-CN"/>
        </w:rPr>
      </w:pPr>
      <w:r>
        <w:rPr>
          <w:rStyle w:val="6"/>
          <w:rFonts w:hint="eastAsia" w:ascii="Times New Roman Regular" w:hAnsi="Times New Roman Regular" w:eastAsia="黑体" w:cs="Times New Roman Regular"/>
          <w:b w:val="0"/>
          <w:bCs/>
          <w:sz w:val="28"/>
          <w:szCs w:val="28"/>
          <w:lang w:val="en-US" w:eastAsia="zh-CN"/>
        </w:rPr>
        <w:t>【成果推介】</w:t>
      </w:r>
      <w:r>
        <w:rPr>
          <w:rStyle w:val="6"/>
          <w:rFonts w:hint="default" w:ascii="Times New Roman Regular" w:hAnsi="Times New Roman Regular" w:eastAsia="黑体" w:cs="Times New Roman Regular"/>
          <w:b w:val="0"/>
          <w:bCs/>
          <w:sz w:val="28"/>
          <w:szCs w:val="28"/>
          <w:lang w:val="en-US" w:eastAsia="zh-CN"/>
        </w:rPr>
        <w:t>少年得志</w:t>
      </w:r>
      <w:r>
        <w:rPr>
          <w:rStyle w:val="6"/>
          <w:rFonts w:hint="eastAsia" w:ascii="Times New Roman Regular" w:hAnsi="Times New Roman Regular" w:eastAsia="黑体" w:cs="Times New Roman Regular"/>
          <w:b w:val="0"/>
          <w:bCs/>
          <w:sz w:val="28"/>
          <w:szCs w:val="28"/>
          <w:lang w:val="en-US" w:eastAsia="zh-CN"/>
        </w:rPr>
        <w:t>还是</w:t>
      </w:r>
      <w:r>
        <w:rPr>
          <w:rStyle w:val="6"/>
          <w:rFonts w:hint="default" w:ascii="Times New Roman Regular" w:hAnsi="Times New Roman Regular" w:eastAsia="黑体" w:cs="Times New Roman Regular"/>
          <w:b w:val="0"/>
          <w:bCs/>
          <w:sz w:val="28"/>
          <w:szCs w:val="28"/>
          <w:lang w:val="en-US" w:eastAsia="zh-CN"/>
        </w:rPr>
        <w:t>大器晚成：杰出学者们都是如何成长的？</w:t>
      </w:r>
    </w:p>
    <w:p w14:paraId="773624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优秀学者的科研成长是否遵循相似规律？早期快速成长与长期持续积累，呈现怎样的不同轨迹？如何从科研生涯的变化过程，而非某一时点的成绩，理解人才的发展潜力？</w:t>
      </w:r>
    </w:p>
    <w:p w14:paraId="1B17CC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drawing>
          <wp:inline distT="0" distB="0" distL="114300" distR="114300">
            <wp:extent cx="4918075" cy="6690360"/>
            <wp:effectExtent l="0" t="0" r="9525" b="15240"/>
            <wp:docPr id="2" name="图片 2" descr="6a8aef20-0fdf-42fb-b0af-d614d5163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8aef20-0fdf-42fb-b0af-d614d51634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8F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图1 论文首页</w:t>
      </w:r>
    </w:p>
    <w:p w14:paraId="68406B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南京大学信息管理学院</w:t>
      </w:r>
      <w:r>
        <w:rPr>
          <w:rFonts w:hint="default" w:ascii="Times New Roman Regular" w:hAnsi="Times New Roman Regular" w:cs="Times New Roman Regular"/>
          <w:sz w:val="28"/>
          <w:szCs w:val="28"/>
          <w:lang w:val="en-US" w:eastAsia="zh-CN"/>
        </w:rPr>
        <w:t>Scool实验室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围绕这些问题开展研究，成果发表于国际期刊《Journal of Informetrics》。研究以287位ACM会士（Fellow）为对象，从科研生产力、学术影响力和综合科研表现三个维度，回溯其长期成长轨迹。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研究表明，亚洲（以中国为主）地区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优秀学者成长模式相对单一，以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“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少年得志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”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为主要特征；欧美等地区的优秀学者则呈现多种成长模式，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“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大器晚成</w:t>
      </w:r>
      <w:r>
        <w:rPr>
          <w:rFonts w:hint="eastAsia" w:ascii="Times New Roman Regular" w:hAnsi="Times New Roman Regular" w:cs="Times New Roman Regular"/>
          <w:sz w:val="28"/>
          <w:szCs w:val="28"/>
          <w:lang w:eastAsia="zh-CN"/>
        </w:rPr>
        <w:t>”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现象尤为值得关注，90%的顶尖人才呈现“后来居上”的成长特征。据此，我国应及时调整科研人员成长支持政策，为不同成长节奏、不同成才路径的科研人员提供持续发展机会，增强科</w:t>
      </w:r>
      <w:bookmarkStart w:id="0" w:name="_GoBack"/>
      <w:bookmarkEnd w:id="0"/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技人才成长的多样性和可持续性。</w:t>
      </w:r>
    </w:p>
    <w:p w14:paraId="1E46AD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还进一步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发现，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  <w:highlight w:val="yellow"/>
        </w:rPr>
        <w:t>优秀学者的成长既具有持续积累的共性，也存在不同的发展节奏和阶段特征。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三个维度分别呈现3类、4类和6类成长模式；在所观察的科研生涯中，多数学者的综合科研表现指标经过约10—20年积累达到峰值，并在中后期保持较高水平。亚洲与欧洲、北美样本之间，还存在成长节奏和高产出阶段持续时间的差异。这些发现为理解科技人才的长期成长、完善人才评价与培养机制提供了实证参考。</w:t>
      </w:r>
    </w:p>
    <w:p w14:paraId="722D92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drawing>
          <wp:inline distT="0" distB="0" distL="114300" distR="114300">
            <wp:extent cx="4543425" cy="4525645"/>
            <wp:effectExtent l="0" t="0" r="3175" b="20955"/>
            <wp:docPr id="1" name="图片 1" descr="673a41a7-6731-482b-99c9-111c2d2a1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3a41a7-6731-482b-99c9-111c2d2a13b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D0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图2 本研究的研究框架</w:t>
      </w:r>
    </w:p>
    <w:p w14:paraId="701BC4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研究的主要内容</w:t>
      </w:r>
    </w:p>
    <w:p w14:paraId="051B99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1.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研究从科研成长的长期过程切入。</w:t>
      </w:r>
    </w:p>
    <w:p w14:paraId="7F03EE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以往关于优秀学者的研究，常关注论文数量、被引表现、合作关系、教育背景等特征。这些信息有助于认识科研成就，却难以单独呈现成就形成的过程。同样达到较高学术水平的研究者，可能经历不同的积累周期、增长速度和阶段性变化。</w:t>
      </w:r>
    </w:p>
    <w:p w14:paraId="7C7294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本研究将分析重点放在文献计量指标的长期变化上，围绕三个问题展开：优秀学者在不同科研表现维度上，是否存在相似的成长轨迹；不同维度的成长模式如何组合；不同成长类型的学者，在地域分布和获得同行认可的时间上，是否存在差异。</w:t>
      </w:r>
    </w:p>
    <w:p w14:paraId="74D1A3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这一研究视角将人才评价的关注点，从阶段性成果拓展到科研生涯中的持续积累与表现演化，也为讨论早期成绩与长期发展之间的关系提供了基础。</w:t>
      </w:r>
    </w:p>
    <w:p w14:paraId="78DBC5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2.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研究数据覆盖287位学者、52,429条论文记录。</w:t>
      </w:r>
    </w:p>
    <w:p w14:paraId="4E0165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研究首先选取2016—2020年当选ACM Fellow的316位学者，再依据科研经历至少20年的条件，筛选出287位计算机科学家。科研经历以第一篇至最后一篇论文的发表时间跨度衡量，样本主要分布于北美、欧洲和亚洲。</w:t>
      </w:r>
    </w:p>
    <w:p w14:paraId="0EB409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选择ACM Fellow作为研究对象，是因为这一荣誉体现了计算机领域对研究者持续性贡献的认可；设置较长科研经历的筛选条件，则有助于观察发展与成熟阶段的变化，减少仅观察早期表现带来的信息局限。</w:t>
      </w:r>
    </w:p>
    <w:p w14:paraId="7F6873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研究通过DBLP获取样本学者的52,429条论文记录，并利用DOI、论文标题及发表年份，在Web of Science中匹配引用信息。为提高数据可靠性，研究逐一核查中国学者的论文及引用信息，并随机抽查30位学者的数据。</w:t>
      </w:r>
    </w:p>
    <w:p w14:paraId="7FD16F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在计量处理上，研究还采用调和计数法，根据作者署名位置和合作者人数估计贡献权重，对论文数量与引用数量进行加权，进而重新计算相关指标。这一处理旨在减少直接计数中合作规模、署名位置带来的影响，但其仍是对作者贡献的估计。</w:t>
      </w:r>
    </w:p>
    <w:p w14:paraId="6D126F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3.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研究方法着重比较成长曲线的形态与节奏。</w:t>
      </w:r>
    </w:p>
    <w:p w14:paraId="473524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研究使用三个相互补充的指标，分别观察年度产出、学术影响力和兼顾数量与引用的综合表现。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2397"/>
        <w:gridCol w:w="4064"/>
      </w:tblGrid>
      <w:tr w14:paraId="75F9AC52"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6C1A540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观察维度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70DFAB1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主要指标</w:t>
            </w:r>
          </w:p>
        </w:tc>
        <w:tc>
          <w:tcPr>
            <w:tcW w:w="4019" w:type="dxa"/>
            <w:shd w:val="clear" w:color="auto" w:fill="auto"/>
            <w:vAlign w:val="center"/>
          </w:tcPr>
          <w:p w14:paraId="7FC2811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数据口径与观察重点</w:t>
            </w:r>
          </w:p>
        </w:tc>
      </w:tr>
      <w:tr w14:paraId="10F73C1F"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0DC8BED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科研生产力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563E5CA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年度论文产出量 count(y)</w:t>
            </w:r>
          </w:p>
        </w:tc>
        <w:tc>
          <w:tcPr>
            <w:tcW w:w="4019" w:type="dxa"/>
            <w:shd w:val="clear" w:color="auto" w:fill="auto"/>
            <w:vAlign w:val="center"/>
          </w:tcPr>
          <w:p w14:paraId="42E491D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观察科研生涯第y年的论文产出及其变化</w:t>
            </w:r>
          </w:p>
        </w:tc>
      </w:tr>
      <w:tr w14:paraId="4CB4E857"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24DE1B5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学术影响力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181C3A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h-index，记为h(y)</w:t>
            </w:r>
          </w:p>
        </w:tc>
        <w:tc>
          <w:tcPr>
            <w:tcW w:w="4019" w:type="dxa"/>
            <w:shd w:val="clear" w:color="auto" w:fill="auto"/>
            <w:vAlign w:val="center"/>
          </w:tcPr>
          <w:p w14:paraId="1D84431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基于截至相应生涯年份累计发表的论文及引用信息，观察影响力的积累</w:t>
            </w:r>
          </w:p>
        </w:tc>
      </w:tr>
      <w:tr w14:paraId="7AD3504C"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68A6279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综合科研表现</w:t>
            </w:r>
          </w:p>
        </w:tc>
        <w:tc>
          <w:tcPr>
            <w:tcW w:w="2367" w:type="dxa"/>
            <w:shd w:val="clear" w:color="auto" w:fill="auto"/>
            <w:vAlign w:val="center"/>
          </w:tcPr>
          <w:p w14:paraId="53BEA39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p-index，记为p(y)</w:t>
            </w:r>
          </w:p>
        </w:tc>
        <w:tc>
          <w:tcPr>
            <w:tcW w:w="4019" w:type="dxa"/>
            <w:shd w:val="clear" w:color="auto" w:fill="auto"/>
            <w:vAlign w:val="center"/>
          </w:tcPr>
          <w:p w14:paraId="78BB213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360" w:lineRule="auto"/>
              <w:ind w:firstLine="0" w:firstLineChars="0"/>
              <w:jc w:val="left"/>
              <w:textAlignment w:val="auto"/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sz w:val="28"/>
                <w:szCs w:val="28"/>
                <w:lang w:val="en-US" w:eastAsia="zh-CN"/>
              </w:rPr>
              <w:t>综合考虑论文数量与被引次数，观察数量与引用表现的组合变化</w:t>
            </w:r>
          </w:p>
        </w:tc>
      </w:tr>
    </w:tbl>
    <w:p w14:paraId="3FAA41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h-index通常用于反映达到一定引用水平的论文规模；p-index同时考虑论文数量与被引次数。研究据此刻画“综合科研能力”，其实际测量范围仍是文献计量表现，不能涵盖创新能力、人才培养和成果转化等全部科研贡献。</w:t>
      </w:r>
    </w:p>
    <w:p w14:paraId="08F3E7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在获得三个指标的时间序列并进行标准化后，研究运用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  <w:highlight w:val="yellow"/>
        </w:rPr>
        <w:t>动态时间规整（DTW）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计算学者成长轨迹之间的距离。该方法能够处理科研生涯长度不同、增长时点错位等问题。例如，两条曲线都经历持续增长和平台期，即使相似变化发生的时间不同，也可能被识别为相近的成长类型。</w:t>
      </w:r>
    </w:p>
    <w:p w14:paraId="5F8DB8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随后，研究对三个指标各自形成的距离矩阵分别进行主成分分析（PCA），提取二维表示，再通过K-means聚类识别典型成长模式。研究比较不同候选分类数，结合组内平方和、轮廓系数以及分类数量的简洁性，确定三个维度的分类结果。</w:t>
      </w:r>
    </w:p>
    <w:p w14:paraId="00A7BF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研究还依据各指标曲线的峰值位置，划分早期发展阶段和中后期成熟阶段，比较不同类型的阶段长度、模式组合、地域分布及当选ACM Fellow的相对时间。这里的阶段划分依据指标轨迹，不对应统一的年龄界限。</w:t>
      </w:r>
    </w:p>
    <w:p w14:paraId="4EA16D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研究的主要发现</w:t>
      </w:r>
    </w:p>
    <w:p w14:paraId="639CD5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5266055" cy="3685540"/>
            <wp:effectExtent l="0" t="0" r="17145" b="22860"/>
            <wp:docPr id="5" name="图片 5" descr="4f792963c48ed6e0143758d8e9fae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f792963c48ed6e0143758d8e9faeb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89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  <w:t>图3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 </w:t>
      </w: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  <w:t>各类学者文献计量增长轨迹的统计特征与分布规律</w:t>
      </w:r>
    </w:p>
    <w:p w14:paraId="74C3DD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主要发现之一：科研生产力有三类典型路径，增长速度与高产出持续时间存在差异。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在论文产出维度，研究识别出A-I、A-II和A-III三类模式。其中，A-I类早期增长较慢，随后能够较长时间维持高产出；A-II类是样本中人数最多的类型，产出上升后出现回落；A-III类增长更快、波动更明显，高产出状态持续时间相对较短。</w:t>
      </w:r>
    </w:p>
    <w:p w14:paraId="07352A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从类别统计看，三类生产力模式的发展阶段时长约在13—30年之间，显示出积累周期的差异。总体而言，多数优秀学者早期论文产出持续增加，并在中后期保持较长的高产出阶段，但增长最快的类型未必拥有最长的高产出持续期。</w:t>
      </w:r>
    </w:p>
    <w:p w14:paraId="3E1299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这一结果提示，识别科研成长需要同时观察增长速度和持续性。某一阶段增长较慢，可以与较长的积累过程及后续持续产出并存。</w:t>
      </w:r>
    </w:p>
    <w:p w14:paraId="014359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主要发现之二：学术影响力呈现四类模式，既有持续增长，也有增长与停滞交替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。h-index轨迹被划分为H-I、H-II、H-III和H-IV四类。多数样本归入H-I与H-II类，其影响力在发展阶段持续上升，达到较高水平后逐渐趋于稳定。</w:t>
      </w:r>
    </w:p>
    <w:p w14:paraId="40C087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另有少数学者经历增长与停滞交替的过程，其中部分类型的影响力积累持续较长时间。论文据此指出，多数优秀学者的影响力在科研生涯前二十年持续增长，但少数人的成长过程更曲折、更漫长。</w:t>
      </w:r>
    </w:p>
    <w:p w14:paraId="6BAEE4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这说明，学术影响力的形成具有长期性和个体差异。观察某一时点的指标值，难以充分反映不同学者已经经历的积累过程。</w:t>
      </w:r>
    </w:p>
    <w:p w14:paraId="5E19A4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主要发现之三：综合科研表现有六类模式，多数依赖长期积累。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p-index轨迹被划分为六类，其中P-I、P-IV和P-V构成主要类型，表现为逐步积累，并在中后期维持较高水平；人数较少的P-II、P-III和P-VI类，则在早期快速上升，随后出现较明显的回落。</w:t>
      </w:r>
    </w:p>
    <w:p w14:paraId="3E1821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论文的总体结论是，在所观察的科研生涯中，多数学者的p-index经过约10—20年积累达到峰值，此后虽可能出现一定回落，但仍能在较长时期内保持较高表现。</w:t>
      </w:r>
    </w:p>
    <w:p w14:paraId="304702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这一发现为人才成长研究提供了时间尺度上的参考：</w:t>
      </w:r>
      <w:r>
        <w:rPr>
          <w:rFonts w:hint="default" w:ascii="Times New Roman Regular" w:hAnsi="Times New Roman Regular" w:cs="Times New Roman Regular" w:eastAsiaTheme="minorEastAsia"/>
          <w:b w:val="0"/>
          <w:bCs w:val="0"/>
          <w:sz w:val="28"/>
          <w:szCs w:val="28"/>
        </w:rPr>
        <w:t>科研表现的成熟往往需要持续积累，仅凭短期产出衡量长期发展，可能遗漏成长过程中的重要信息。</w:t>
      </w:r>
    </w:p>
    <w:p w14:paraId="721702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Times New Roman Regular" w:hAnsi="Times New Roman Regular" w:cs="Times New Roman Regular" w:eastAsiaTheme="minorEastAsia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b w:val="0"/>
          <w:bCs w:val="0"/>
          <w:sz w:val="28"/>
          <w:szCs w:val="28"/>
          <w:lang w:eastAsia="zh-CN"/>
        </w:rPr>
        <w:drawing>
          <wp:inline distT="0" distB="0" distL="114300" distR="114300">
            <wp:extent cx="5273040" cy="3616960"/>
            <wp:effectExtent l="0" t="0" r="10160" b="15240"/>
            <wp:docPr id="7" name="图片 7" descr="9a563ae0-09f7-4d0f-85cf-e97807ef8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a563ae0-09f7-4d0f-85cf-e97807ef83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A7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default" w:ascii="Times New Roman Regular" w:hAnsi="Times New Roman Regular" w:cs="Times New Roman Regular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图4 不同类别学者在早期阶段与中后期成熟阶段的持续时间分布</w:t>
      </w:r>
    </w:p>
    <w:p w14:paraId="4A5D21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主要发现之四：不同维度的成长模式存在组合规律，发展节奏并不完全同步。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研究进一步比较生产力、影响力和综合表现的类型组合，发现同一学者在三个维度上，并不一定呈现相同的变化节奏。</w:t>
      </w:r>
    </w:p>
    <w:p w14:paraId="71A5EA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例如，产出增长较快、随后回落的A-III类学者，多与影响力增长较快的H-II类及综合表现缓慢积累的P-IV类组合。这意味着，论文产出的快速变化，可以与综合表现较长期的积累同时存在。</w:t>
      </w:r>
    </w:p>
    <w:p w14:paraId="60C6C3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因此，某一阶段论文数量下降，不能直接等同于其他科研表现同步下降。研究所识别的3类、4类和6类模式，也是三个维度分别形成的分类，需要结合起来理解学者的成长过程。</w:t>
      </w:r>
    </w:p>
    <w:p w14:paraId="7B6CD7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left"/>
        <w:textAlignment w:val="auto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drawing>
          <wp:inline distT="0" distB="0" distL="114300" distR="114300">
            <wp:extent cx="5273675" cy="3731895"/>
            <wp:effectExtent l="0" t="0" r="9525" b="1905"/>
            <wp:docPr id="3" name="图片 3" descr="af292a8b-0875-435d-8aef-de25b4c026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f292a8b-0875-435d-8aef-de25b4c0261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A8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图5 </w:t>
      </w: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t>三类组合中学者的人口分布情况</w:t>
      </w:r>
    </w:p>
    <w:p w14:paraId="1673C2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主要发现之五：获得同行认可的时间，与成长类型存在关联。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研究以当选ACM Fellow作为获得广泛同行认可的重要节点，比较不同类型学者的当选时间。</w:t>
      </w:r>
    </w:p>
    <w:p w14:paraId="2F727E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从生产力和影响力维度看，早期产出增长较快、影响力增长较平稳的学者，通常在已观察科研生涯中相对较早当选；产出增长较慢、影响力发展较曲折的类型，获得这一认可的时间往往相对较晚。按p-index分类的不同群体，当选相对时间则没有明显差异。</w:t>
      </w:r>
    </w:p>
    <w:p w14:paraId="01C988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这些结果表明，科研表现的增长与同行认可的形成存在不同的时间关系。对人才发展进行观察，需要同时考虑其已有成果、积累过程和成长阶段。</w:t>
      </w:r>
    </w:p>
    <w:p w14:paraId="4D4488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drawing>
          <wp:inline distT="0" distB="0" distL="114300" distR="114300">
            <wp:extent cx="4732655" cy="5983605"/>
            <wp:effectExtent l="0" t="0" r="17145" b="10795"/>
            <wp:docPr id="6" name="图片 6" descr="d225214b-9380-419e-b8ee-dcfe894f2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225214b-9380-419e-b8ee-dcfe894f279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86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jc w:val="center"/>
        <w:textAlignment w:val="auto"/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 xml:space="preserve">图6 </w:t>
      </w: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t>各类学者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当选ACM会士</w:t>
      </w: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eastAsia="zh-CN"/>
        </w:rPr>
        <w:t>时间及其地域分布</w:t>
      </w:r>
    </w:p>
    <w:p w14:paraId="0E227D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主要发现之六：亚洲与欧洲、北美样本呈现不同的成长节奏。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在这组ACM Fellow样本中，亚洲学者早期论文产出和h-index增长相对较快，但高产出阶段持续时间相对较短；欧洲和北美学者早期产出与影响力增长相对较缓，高产出阶段则维持更久。</w:t>
      </w:r>
    </w:p>
    <w:p w14:paraId="3CF00A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在p-index所刻画的综合表现上，亚洲样本增长相对较慢，欧洲和北美样本相对较快。论文据此讨论了不同地区产出数量与引用表现的组合差异，也进一步说明，多维观察有助于理解单项指标无法完整呈现的成长特征。</w:t>
      </w:r>
    </w:p>
    <w:p w14:paraId="16B614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论文将科研政策、教育培养和资源配置等视为可能参与形成这些差异的因素。要解释地区差异的具体来源，还需要结合学者所处的科研环境开展进一步检验。</w:t>
      </w:r>
    </w:p>
    <w:p w14:paraId="67738E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</w:rPr>
      </w:pP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本</w:t>
      </w: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研究的贡献在于将长期轨迹、多维表现与成长类型结合起来。在研究视角上，该成果关注科研成就形成的过程，揭示优秀学者在共享部分成长特征的同时，也存在积累周期、增长方式和成熟阶段的差异。在研究方法上，DTW、PCA与聚类分析相结合，使不同长度、不同节奏的成长曲线能够进行比较，为跨地区、跨群体研究提供了可借鉴的分析框架。</w:t>
      </w:r>
    </w:p>
    <w:p w14:paraId="3814CD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 w:eastAsiaTheme="minorEastAsia"/>
          <w:sz w:val="28"/>
          <w:szCs w:val="28"/>
        </w:rPr>
        <w:t>在应用层面，该成果为完善分类支持和持续培养机制提供了参考。从这些发现出发，人才评价可以更充分地关注科研表现的长期变化，并为不同成长节奏保留发展机会。</w:t>
      </w:r>
      <w:r>
        <w:rPr>
          <w:rFonts w:hint="eastAsia" w:ascii="Times New Roman Regular" w:hAnsi="Times New Roman Regular" w:cs="Times New Roman Regular"/>
          <w:b w:val="0"/>
          <w:bCs w:val="0"/>
          <w:sz w:val="28"/>
          <w:szCs w:val="28"/>
          <w:lang w:val="en-US" w:eastAsia="zh-CN"/>
        </w:rPr>
        <w:t>具体而言</w:t>
      </w:r>
      <w:r>
        <w:rPr>
          <w:rFonts w:hint="default" w:ascii="Times New Roman Regular" w:hAnsi="Times New Roman Regular" w:cs="Times New Roman Regular" w:eastAsiaTheme="minorEastAsia"/>
          <w:b w:val="0"/>
          <w:bCs w:val="0"/>
          <w:sz w:val="28"/>
          <w:szCs w:val="28"/>
        </w:rPr>
        <w:t>，首先，应将阶段性成果与长期变化结合起来，兼顾产出增长、影响力积累和表现的持续性。对于积累较慢、发展过程较曲折的研究者，评价也需要能够反映其成长进展。其次，可结合学科特点和科研积累周期合理设置评价窗口。早期发展、中期积累和成熟阶段具有不同特征，短期评价结果需要放在更长的科研过程之中理解。再次，人才支持机制可以兼顾早期突出人才与后期突破人才，为持续积累、表现持续改善的研究者提供后续支持机会。具体措施需要结合学科环境和科研任务特点设计，并通过后续评估检验其效果。</w:t>
      </w:r>
    </w:p>
    <w:p w14:paraId="0BEECF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1" w:firstLineChars="200"/>
        <w:jc w:val="left"/>
        <w:textAlignment w:val="auto"/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val="en-US" w:eastAsia="zh-CN"/>
        </w:rPr>
        <w:t>因此，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人才政策应兼顾早期突出人才与后期突破人才，合理设置评价周期，拓展</w:t>
      </w: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eastAsia="zh-CN"/>
        </w:rPr>
        <w:t>“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大器晚成</w:t>
      </w: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eastAsia="zh-CN"/>
        </w:rPr>
        <w:t>”“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后来居上</w:t>
      </w:r>
      <w:r>
        <w:rPr>
          <w:rFonts w:hint="eastAsia" w:ascii="Times New Roman Regular" w:hAnsi="Times New Roman Regular" w:cs="Times New Roman Regular"/>
          <w:b/>
          <w:bCs/>
          <w:sz w:val="28"/>
          <w:szCs w:val="28"/>
          <w:lang w:eastAsia="zh-CN"/>
        </w:rPr>
        <w:t>”</w:t>
      </w:r>
      <w:r>
        <w:rPr>
          <w:rFonts w:hint="default" w:ascii="Times New Roman Regular" w:hAnsi="Times New Roman Regular" w:cs="Times New Roman Regular" w:eastAsiaTheme="minorEastAsia"/>
          <w:b/>
          <w:bCs/>
          <w:sz w:val="28"/>
          <w:szCs w:val="28"/>
        </w:rPr>
        <w:t>型人才的发展空间，为国家科技创新与科技安全提供可持续的人才支撑。</w:t>
      </w:r>
    </w:p>
    <w:p w14:paraId="4C0CA4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firstLine="560" w:firstLineChars="200"/>
        <w:jc w:val="left"/>
        <w:textAlignment w:val="auto"/>
        <w:rPr>
          <w:rFonts w:hint="default" w:ascii="Times New Roman Regular" w:hAnsi="Times New Roman Regular" w:cs="Times New Roman Regular" w:eastAsiaTheme="minorEastAsia"/>
          <w:sz w:val="28"/>
          <w:szCs w:val="28"/>
          <w:lang w:val="en-US" w:eastAsia="zh-CN"/>
        </w:rPr>
      </w:pP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  <w:t>文章来源</w:t>
      </w:r>
      <w:r>
        <w:rPr>
          <w:rFonts w:hint="eastAsia" w:ascii="Times New Roman Regular" w:hAnsi="Times New Roman Regular" w:cs="Times New Roman Regular"/>
          <w:sz w:val="28"/>
          <w:szCs w:val="28"/>
          <w:lang w:val="en-US" w:eastAsia="zh-CN"/>
        </w:rPr>
        <w:t>：</w:t>
      </w:r>
      <w:r>
        <w:rPr>
          <w:rFonts w:hint="eastAsia" w:ascii="Times New Roman Regular" w:hAnsi="Times New Roman Regular" w:cs="Times New Roman Regular" w:eastAsiaTheme="minorEastAsia"/>
          <w:sz w:val="28"/>
          <w:szCs w:val="28"/>
          <w:lang w:val="en-US" w:eastAsia="zh-CN"/>
        </w:rPr>
        <w:t>Peng X, Xu H, Shi J. Are the bibliometric growth patterns of excellent scholars similar? From the analysis of ACM Fellows[J] . Journal of Informetrics, 2024,18(3) : 101543.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AF9F"/>
    <w:rsid w:val="0FFC2F82"/>
    <w:rsid w:val="7FCBF9E6"/>
    <w:rsid w:val="DDDDD855"/>
    <w:rsid w:val="E6FDF89F"/>
    <w:rsid w:val="EDD27461"/>
    <w:rsid w:val="FFFBA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widowControl/>
      <w:spacing w:after="200" w:line="276" w:lineRule="auto"/>
      <w:ind w:left="720"/>
      <w:contextualSpacing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character" w:customStyle="1" w:styleId="9">
    <w:name w:val="15"/>
    <w:basedOn w:val="5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2026-10-13T04:38:00Z</dcterms:created>
  <dc:creator>周芃锟</dc:creator>
  <cp:lastModifiedBy>周芃锟</cp:lastModifiedBy>
  <dcterms:modified xsi:type="dcterms:W3CDTF">2026-10-13T18:15:48Z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F5002D1BB526B9E0A704CE6A62E15BE6_43</vt:lpwstr>
  </property>
</Properties>
</file>