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F15A29"/>
          <w:sz w:val="18"/>
          <w:szCs w:val="18"/>
        </w:rPr>
        <w:t xml:space="preserve">ZYVOR  ·  NETRA</w:t>
      </w:r>
    </w:p>
    <w:p>
      <w:pPr>
        <w:spacing w:after="200" w:before="0"/>
      </w:pPr>
      <w:r>
        <w:rPr>
          <w:rFonts w:ascii="Arial" w:cs="Arial" w:eastAsia="Arial" w:hAnsi="Arial"/>
          <w:b/>
          <w:bCs/>
          <w:color w:val="111111"/>
          <w:sz w:val="48"/>
          <w:szCs w:val="48"/>
        </w:rPr>
        <w:t xml:space="preserve">Network observability and
emergency control,
</w:t>
      </w:r>
      <w:r>
        <w:rPr>
          <w:rFonts w:ascii="Arial" w:cs="Arial" w:eastAsia="Arial" w:hAnsi="Arial"/>
          <w:b/>
          <w:bCs/>
          <w:color w:val="F15A29"/>
          <w:sz w:val="48"/>
          <w:szCs w:val="48"/>
        </w:rPr>
        <w:t xml:space="preserve">without CNI lock-in.</w:t>
      </w:r>
    </w:p>
    <w:p>
      <w:pPr>
        <w:spacing w:after="280" w:before="0"/>
      </w:pPr>
      <w:r>
        <w:rPr>
          <w:rFonts w:ascii="Arial" w:cs="Arial" w:eastAsia="Arial" w:hAnsi="Arial"/>
          <w:color w:val="111111"/>
          <w:sz w:val="22"/>
          <w:szCs w:val="22"/>
        </w:rPr>
        <w:t xml:space="preserve">A buyer brochure for enterprises evaluating Netra — how every major capability works, how incidents move from signal to containment, and how Netra sits next to PacketWolf in the Zyvor suite.</w:t>
      </w:r>
    </w:p>
    <w:p>
      <w:pPr>
        <w:spacing w:after="400" w:before="0"/>
      </w:pPr>
      <w:r>
        <w:rPr>
          <w:rFonts w:ascii="Arial" w:cs="Arial" w:eastAsia="Arial" w:hAnsi="Arial"/>
          <w:b/>
          <w:bCs/>
          <w:color w:val="F15A29"/>
          <w:sz w:val="18"/>
          <w:szCs w:val="18"/>
        </w:rPr>
        <w:t xml:space="preserve">OBSERVE  ·  DIAGNOSE  ·  CONTAIN  ·  FAIL OPEN</w:t>
      </w:r>
    </w:p>
    <w:p>
      <w:pPr>
        <w:spacing w:after="200" w:before="0"/>
      </w:pPr>
      <w:r>
        <w:rPr>
          <w:rFonts w:ascii="Arial" w:cs="Arial" w:eastAsia="Arial" w:hAnsi="Arial"/>
          <w:color w:val="666666"/>
          <w:sz w:val="18"/>
          <w:szCs w:val="18"/>
        </w:rPr>
        <w:t xml:space="preserve">Standalone eBPF for Linux/Kubernetes  ·  Apache-2.0  ·  Optional Cilium/Hubble enrichment</w:t>
      </w:r>
    </w:p>
    <w:p>
      <w:pPr>
        <w:spacing w:after="200" w:before="0"/>
      </w:pPr>
      <w:r>
        <w:rPr>
          <w:rFonts w:ascii="Arial" w:cs="Arial" w:eastAsia="Arial" w:hAnsi="Arial"/>
          <w:i/>
          <w:iCs/>
          <w:color w:val="666666"/>
          <w:sz w:val="16"/>
          <w:szCs w:val="16"/>
        </w:rPr>
        <w:t xml:space="preserve">Illustrative UI captures from a live lab deployment appear later in this brochure.</w:t>
      </w:r>
    </w:p>
    <w:p>
      <w:r>
        <w:br w:type="page"/>
      </w:r>
    </w:p>
    <w:p>
      <w:pPr>
        <w:pStyle w:val="Heading1"/>
        <w:spacing w:after="200" w:before="120"/>
      </w:pPr>
      <w:r>
        <w:rPr>
          <w:rFonts w:ascii="Arial" w:cs="Arial" w:eastAsia="Arial" w:hAnsi="Arial"/>
          <w:b/>
          <w:bCs/>
          <w:color w:val="111111"/>
          <w:sz w:val="36"/>
          <w:szCs w:val="36"/>
        </w:rPr>
        <w:t xml:space="preserve">When enterprises buy Netra</w:t>
      </w:r>
    </w:p>
    <w:p>
      <w:pPr>
        <w:spacing w:after="160" w:before="0"/>
      </w:pPr>
      <w:r>
        <w:rPr>
          <w:rFonts w:ascii="Arial" w:cs="Arial" w:eastAsia="Arial" w:hAnsi="Arial"/>
          <w:color w:val="111111"/>
          <w:sz w:val="22"/>
          <w:szCs w:val="22"/>
        </w:rPr>
        <w:t xml:space="preserve">Modern clusters accumulate network tools faster than operators can trust them. CNI dashboards explain policy verdicts. Host stacks still drop packets in softnet, qdisc, and the NIC. Emergency denies that never expire become the next outage. Netra is built for that gap.</w:t>
      </w:r>
    </w:p>
    <w:p>
      <w:pPr>
        <w:pStyle w:val="Heading2"/>
        <w:spacing w:after="140" w:before="280"/>
      </w:pPr>
      <w:r>
        <w:rPr>
          <w:rFonts w:ascii="Arial" w:cs="Arial" w:eastAsia="Arial" w:hAnsi="Arial"/>
          <w:b/>
          <w:bCs/>
          <w:color w:val="F15A29"/>
          <w:sz w:val="28"/>
          <w:szCs w:val="28"/>
        </w:rPr>
        <w:t xml:space="preserve">Buyer problems Netra addresses</w:t>
      </w:r>
    </w:p>
    <w:p>
      <w:pPr>
        <w:pStyle w:val="ListParagraph"/>
        <w:numPr>
          <w:ilvl w:val="0"/>
          <w:numId w:val="2"/>
        </w:numPr>
        <w:spacing w:after="100"/>
      </w:pPr>
      <w:r>
        <w:rPr>
          <w:rFonts w:ascii="Arial" w:cs="Arial" w:eastAsia="Arial" w:hAnsi="Arial"/>
          <w:sz w:val="20"/>
          <w:szCs w:val="20"/>
        </w:rPr>
        <w:t xml:space="preserve">CNI-only visibility leaves node-level loss unexplained.</w:t>
      </w:r>
    </w:p>
    <w:p>
      <w:pPr>
        <w:pStyle w:val="ListParagraph"/>
        <w:numPr>
          <w:ilvl w:val="0"/>
          <w:numId w:val="2"/>
        </w:numPr>
        <w:spacing w:after="100"/>
      </w:pPr>
      <w:r>
        <w:rPr>
          <w:rFonts w:ascii="Arial" w:cs="Arial" w:eastAsia="Arial" w:hAnsi="Arial"/>
          <w:sz w:val="20"/>
          <w:szCs w:val="20"/>
        </w:rPr>
        <w:t xml:space="preserve">Changing or mixing CNIs should not erase observability and emergency control.</w:t>
      </w:r>
    </w:p>
    <w:p>
      <w:pPr>
        <w:pStyle w:val="ListParagraph"/>
        <w:numPr>
          <w:ilvl w:val="0"/>
          <w:numId w:val="2"/>
        </w:numPr>
        <w:spacing w:after="100"/>
      </w:pPr>
      <w:r>
        <w:rPr>
          <w:rFonts w:ascii="Arial" w:cs="Arial" w:eastAsia="Arial" w:hAnsi="Arial"/>
          <w:sz w:val="20"/>
          <w:szCs w:val="20"/>
        </w:rPr>
        <w:t xml:space="preserve">Incident kill-switches must auto-revert — permanent silent deny is unacceptable.</w:t>
      </w:r>
    </w:p>
    <w:p>
      <w:pPr>
        <w:pStyle w:val="ListParagraph"/>
        <w:numPr>
          <w:ilvl w:val="0"/>
          <w:numId w:val="2"/>
        </w:numPr>
        <w:spacing w:after="100"/>
      </w:pPr>
      <w:r>
        <w:rPr>
          <w:rFonts w:ascii="Arial" w:cs="Arial" w:eastAsia="Arial" w:hAnsi="Arial"/>
          <w:sz w:val="20"/>
          <w:szCs w:val="20"/>
        </w:rPr>
        <w:t xml:space="preserve">Evidence (capture, alerts, SIEM, AI) must not collect payloads, argv, or secrets.</w:t>
      </w:r>
    </w:p>
    <w:p>
      <w:pPr>
        <w:pStyle w:val="Heading2"/>
        <w:spacing w:after="140" w:before="280"/>
      </w:pPr>
      <w:r>
        <w:rPr>
          <w:rFonts w:ascii="Arial" w:cs="Arial" w:eastAsia="Arial" w:hAnsi="Arial"/>
          <w:b/>
          <w:bCs/>
          <w:color w:val="F15A29"/>
          <w:sz w:val="28"/>
          <w:szCs w:val="28"/>
        </w:rPr>
        <w:t xml:space="preserve">What Netra is — in one sentence</w:t>
      </w:r>
    </w:p>
    <w:p>
      <w:pPr>
        <w:spacing w:after="160" w:before="0"/>
      </w:pPr>
      <w:r>
        <w:rPr>
          <w:rFonts w:ascii="Arial" w:cs="Arial" w:eastAsia="Arial" w:hAnsi="Arial"/>
          <w:color w:val="111111"/>
          <w:sz w:val="22"/>
          <w:szCs w:val="22"/>
        </w:rPr>
        <w:t xml:space="preserve">Netra is standalone eBPF network observability and leased emergency containment for Linux/Kubernetes: observe-first, CNI-independent by default, with optional Cilium/Hubble enrichment.</w:t>
      </w:r>
    </w:p>
    <w:p>
      <w:r>
        <w:br w:type="page"/>
      </w:r>
    </w:p>
    <w:p>
      <w:pPr>
        <w:pStyle w:val="Heading1"/>
        <w:spacing w:after="200" w:before="120"/>
      </w:pPr>
      <w:r>
        <w:rPr>
          <w:rFonts w:ascii="Arial" w:cs="Arial" w:eastAsia="Arial" w:hAnsi="Arial"/>
          <w:b/>
          <w:bCs/>
          <w:color w:val="111111"/>
          <w:sz w:val="36"/>
          <w:szCs w:val="36"/>
        </w:rPr>
        <w:t xml:space="preserve">Architecture — how it works</w:t>
      </w:r>
    </w:p>
    <w:p>
      <w:pPr>
        <w:spacing w:after="160" w:before="0"/>
      </w:pPr>
      <w:r>
        <w:rPr>
          <w:rFonts w:ascii="Arial" w:cs="Arial" w:eastAsia="Arial" w:hAnsi="Arial"/>
          <w:color w:val="111111"/>
          <w:sz w:val="22"/>
          <w:szCs w:val="22"/>
        </w:rPr>
        <w:t xml:space="preserve">Netra has two workloads: a controller (netrad) that serves the API/UI and holds desired state, and a privileged node agent that owns eBPF programs and maps under /sys/fs/bpf/netra.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01</w:t>
            </w:r>
          </w:p>
          <w:p>
            <w:pPr>
              <w:spacing w:after="40" w:before="0"/>
              <w:jc w:val="center"/>
            </w:pPr>
            <w:r>
              <w:rPr>
                <w:rFonts w:ascii="Arial" w:cs="Arial" w:eastAsia="Arial" w:hAnsi="Arial"/>
                <w:b/>
                <w:bCs/>
                <w:color w:val="111111"/>
                <w:sz w:val="18"/>
                <w:szCs w:val="18"/>
              </w:rPr>
              <w:t xml:space="preserve">Workloads</w:t>
            </w:r>
          </w:p>
          <w:p>
            <w:pPr>
              <w:spacing w:after="20" w:before="0"/>
              <w:jc w:val="center"/>
            </w:pPr>
            <w:r>
              <w:rPr>
                <w:rFonts w:ascii="Arial" w:cs="Arial" w:eastAsia="Arial" w:hAnsi="Arial"/>
                <w:color w:val="666666"/>
                <w:sz w:val="16"/>
                <w:szCs w:val="16"/>
              </w:rPr>
              <w:t xml:space="preserve">Pods · VMs · host</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02</w:t>
            </w:r>
          </w:p>
          <w:p>
            <w:pPr>
              <w:spacing w:after="40" w:before="0"/>
              <w:jc w:val="center"/>
            </w:pPr>
            <w:r>
              <w:rPr>
                <w:rFonts w:ascii="Arial" w:cs="Arial" w:eastAsia="Arial" w:hAnsi="Arial"/>
                <w:b/>
                <w:bCs/>
                <w:color w:val="111111"/>
                <w:sz w:val="18"/>
                <w:szCs w:val="18"/>
              </w:rPr>
              <w:t xml:space="preserve">eBPF hooks</w:t>
            </w:r>
          </w:p>
          <w:p>
            <w:pPr>
              <w:spacing w:after="20" w:before="0"/>
              <w:jc w:val="center"/>
            </w:pPr>
            <w:r>
              <w:rPr>
                <w:rFonts w:ascii="Arial" w:cs="Arial" w:eastAsia="Arial" w:hAnsi="Arial"/>
                <w:color w:val="666666"/>
                <w:sz w:val="16"/>
                <w:szCs w:val="16"/>
              </w:rPr>
              <w:t xml:space="preserve">cgroup · sockops · TCX/XDP</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03</w:t>
            </w:r>
          </w:p>
          <w:p>
            <w:pPr>
              <w:spacing w:after="40" w:before="0"/>
              <w:jc w:val="center"/>
            </w:pPr>
            <w:r>
              <w:rPr>
                <w:rFonts w:ascii="Arial" w:cs="Arial" w:eastAsia="Arial" w:hAnsi="Arial"/>
                <w:b/>
                <w:bCs/>
                <w:color w:val="111111"/>
                <w:sz w:val="18"/>
                <w:szCs w:val="18"/>
              </w:rPr>
              <w:t xml:space="preserve">Netra maps</w:t>
            </w:r>
          </w:p>
          <w:p>
            <w:pPr>
              <w:spacing w:after="20" w:before="0"/>
              <w:jc w:val="center"/>
            </w:pPr>
            <w:r>
              <w:rPr>
                <w:rFonts w:ascii="Arial" w:cs="Arial" w:eastAsia="Arial" w:hAnsi="Arial"/>
                <w:color w:val="666666"/>
                <w:sz w:val="16"/>
                <w:szCs w:val="16"/>
              </w:rPr>
              <w:t xml:space="preserve">/sys/fs/bpf/netra</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04</w:t>
            </w:r>
          </w:p>
          <w:p>
            <w:pPr>
              <w:spacing w:after="40" w:before="0"/>
              <w:jc w:val="center"/>
            </w:pPr>
            <w:r>
              <w:rPr>
                <w:rFonts w:ascii="Arial" w:cs="Arial" w:eastAsia="Arial" w:hAnsi="Arial"/>
                <w:b/>
                <w:bCs/>
                <w:color w:val="111111"/>
                <w:sz w:val="18"/>
                <w:szCs w:val="18"/>
              </w:rPr>
              <w:t xml:space="preserve">Agent</w:t>
            </w:r>
          </w:p>
          <w:p>
            <w:pPr>
              <w:spacing w:after="20" w:before="0"/>
              <w:jc w:val="center"/>
            </w:pPr>
            <w:r>
              <w:rPr>
                <w:rFonts w:ascii="Arial" w:cs="Arial" w:eastAsia="Arial" w:hAnsi="Arial"/>
                <w:color w:val="666666"/>
                <w:sz w:val="16"/>
                <w:szCs w:val="16"/>
              </w:rPr>
              <w:t xml:space="preserve">report · capture · lease</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05</w:t>
            </w:r>
          </w:p>
          <w:p>
            <w:pPr>
              <w:spacing w:after="40" w:before="0"/>
              <w:jc w:val="center"/>
            </w:pPr>
            <w:r>
              <w:rPr>
                <w:rFonts w:ascii="Arial" w:cs="Arial" w:eastAsia="Arial" w:hAnsi="Arial"/>
                <w:b/>
                <w:bCs/>
                <w:color w:val="111111"/>
                <w:sz w:val="18"/>
                <w:szCs w:val="18"/>
              </w:rPr>
              <w:t xml:space="preserve">netrad</w:t>
            </w:r>
          </w:p>
          <w:p>
            <w:pPr>
              <w:spacing w:after="20" w:before="0"/>
              <w:jc w:val="center"/>
            </w:pPr>
            <w:r>
              <w:rPr>
                <w:rFonts w:ascii="Arial" w:cs="Arial" w:eastAsia="Arial" w:hAnsi="Arial"/>
                <w:color w:val="666666"/>
                <w:sz w:val="16"/>
                <w:szCs w:val="16"/>
              </w:rPr>
              <w:t xml:space="preserve">API · UI · HA</w:t>
            </w:r>
          </w:p>
        </w:tc>
      </w:tr>
    </w:tbl>
    <w:p>
      <w:pPr>
        <w:spacing w:after="160" w:before="0"/>
      </w:pPr>
      <w:r>
        <w:rPr>
          <w:rFonts w:ascii="Arial" w:cs="Arial" w:eastAsia="Arial" w:hAnsi="Arial"/>
          <w:color w:val="111111"/>
          <w:sz w:val="22"/>
          <w:szCs w:val="22"/>
        </w:rPr>
        <w:t xml:space="preserve"/>
      </w:r>
    </w:p>
    <w:p>
      <w:pPr>
        <w:pStyle w:val="Heading2"/>
        <w:spacing w:after="140" w:before="280"/>
      </w:pPr>
      <w:r>
        <w:rPr>
          <w:rFonts w:ascii="Arial" w:cs="Arial" w:eastAsia="Arial" w:hAnsi="Arial"/>
          <w:b/>
          <w:bCs/>
          <w:color w:val="F15A29"/>
          <w:sz w:val="28"/>
          <w:szCs w:val="28"/>
        </w:rPr>
        <w:t xml:space="preserve">Hook model (default)</w:t>
      </w:r>
    </w:p>
    <w:p>
      <w:pPr>
        <w:pStyle w:val="ListParagraph"/>
        <w:numPr>
          <w:ilvl w:val="0"/>
          <w:numId w:val="3"/>
        </w:numPr>
        <w:spacing w:after="80"/>
      </w:pPr>
      <w:r>
        <w:rPr>
          <w:rFonts w:ascii="Arial" w:cs="Arial" w:eastAsia="Arial" w:hAnsi="Arial"/>
          <w:sz w:val="20"/>
          <w:szCs w:val="20"/>
        </w:rPr>
        <w:t xml:space="preserve">cgroup_skb ingress/egress — CNI-independent workload observation and control</w:t>
      </w:r>
    </w:p>
    <w:p>
      <w:pPr>
        <w:pStyle w:val="ListParagraph"/>
        <w:numPr>
          <w:ilvl w:val="0"/>
          <w:numId w:val="3"/>
        </w:numPr>
        <w:spacing w:after="80"/>
      </w:pPr>
      <w:r>
        <w:rPr>
          <w:rFonts w:ascii="Arial" w:cs="Arial" w:eastAsia="Arial" w:hAnsi="Arial"/>
          <w:sz w:val="20"/>
          <w:szCs w:val="20"/>
        </w:rPr>
        <w:t xml:space="preserve">cgroup connect/sendmsg — process/UID context and deny for new sockets</w:t>
      </w:r>
    </w:p>
    <w:p>
      <w:pPr>
        <w:pStyle w:val="ListParagraph"/>
        <w:numPr>
          <w:ilvl w:val="0"/>
          <w:numId w:val="3"/>
        </w:numPr>
        <w:spacing w:after="80"/>
      </w:pPr>
      <w:r>
        <w:rPr>
          <w:rFonts w:ascii="Arial" w:cs="Arial" w:eastAsia="Arial" w:hAnsi="Arial"/>
          <w:sz w:val="20"/>
          <w:szCs w:val="20"/>
        </w:rPr>
        <w:t xml:space="preserve">sockops — TCP health, RTT, retransmit, connect latency</w:t>
      </w:r>
    </w:p>
    <w:p>
      <w:pPr>
        <w:pStyle w:val="ListParagraph"/>
        <w:numPr>
          <w:ilvl w:val="0"/>
          <w:numId w:val="3"/>
        </w:numPr>
        <w:spacing w:after="80"/>
      </w:pPr>
      <w:r>
        <w:rPr>
          <w:rFonts w:ascii="Arial" w:cs="Arial" w:eastAsia="Arial" w:hAnsi="Arial"/>
          <w:sz w:val="20"/>
          <w:szCs w:val="20"/>
        </w:rPr>
        <w:t xml:space="preserve">Optional: kfree_skb drop reasons, TCX, XDP Shield on selected interfaces</w:t>
      </w:r>
    </w:p>
    <w:p>
      <w:pPr>
        <w:spacing w:after="160" w:before="0"/>
      </w:pPr>
      <w:r>
        <w:rPr>
          <w:rFonts w:ascii="Arial" w:cs="Arial" w:eastAsia="Arial" w:hAnsi="Arial"/>
          <w:color w:val="666666"/>
          <w:sz w:val="20"/>
          <w:szCs w:val="20"/>
        </w:rPr>
        <w:t xml:space="preserve">The agent never pins over Cilium-owned maps. Cilium and Hubble are read as optional data sources.</w:t>
      </w:r>
    </w:p>
    <w:p>
      <w:r>
        <w:br w:type="page"/>
      </w:r>
    </w:p>
    <w:p>
      <w:pPr>
        <w:pStyle w:val="Heading1"/>
        <w:spacing w:after="200" w:before="120"/>
      </w:pPr>
      <w:r>
        <w:rPr>
          <w:rFonts w:ascii="Arial" w:cs="Arial" w:eastAsia="Arial" w:hAnsi="Arial"/>
          <w:b/>
          <w:bCs/>
          <w:color w:val="111111"/>
          <w:sz w:val="36"/>
          <w:szCs w:val="36"/>
        </w:rPr>
        <w:t xml:space="preserve">Observability</w:t>
      </w:r>
    </w:p>
    <w:p>
      <w:pPr>
        <w:spacing w:after="160" w:before="0"/>
      </w:pPr>
      <w:r>
        <w:rPr>
          <w:rFonts w:ascii="Arial" w:cs="Arial" w:eastAsia="Arial" w:hAnsi="Arial"/>
          <w:color w:val="111111"/>
          <w:sz w:val="22"/>
          <w:szCs w:val="22"/>
        </w:rPr>
        <w:t xml:space="preserve">Netra records flow counters, direction, hook attribution, TCP/UDP/ICMP visibility, Kubernetes workload identity, and metadata-only L7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01</w:t>
            </w:r>
          </w:p>
          <w:p>
            <w:pPr>
              <w:spacing w:after="40" w:before="0"/>
              <w:jc w:val="center"/>
            </w:pPr>
            <w:r>
              <w:rPr>
                <w:rFonts w:ascii="Arial" w:cs="Arial" w:eastAsia="Arial" w:hAnsi="Arial"/>
                <w:b/>
                <w:bCs/>
                <w:color w:val="111111"/>
                <w:sz w:val="18"/>
                <w:szCs w:val="18"/>
              </w:rPr>
              <w:t xml:space="preserve">L3/L4</w:t>
            </w:r>
          </w:p>
          <w:p>
            <w:pPr>
              <w:spacing w:after="20" w:before="0"/>
              <w:jc w:val="center"/>
            </w:pPr>
            <w:r>
              <w:rPr>
                <w:rFonts w:ascii="Arial" w:cs="Arial" w:eastAsia="Arial" w:hAnsi="Arial"/>
                <w:color w:val="666666"/>
                <w:sz w:val="16"/>
                <w:szCs w:val="16"/>
              </w:rPr>
              <w:t xml:space="preserve">tuples · flags</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02</w:t>
            </w:r>
          </w:p>
          <w:p>
            <w:pPr>
              <w:spacing w:after="40" w:before="0"/>
              <w:jc w:val="center"/>
            </w:pPr>
            <w:r>
              <w:rPr>
                <w:rFonts w:ascii="Arial" w:cs="Arial" w:eastAsia="Arial" w:hAnsi="Arial"/>
                <w:b/>
                <w:bCs/>
                <w:color w:val="111111"/>
                <w:sz w:val="18"/>
                <w:szCs w:val="18"/>
              </w:rPr>
              <w:t xml:space="preserve">L7 meta</w:t>
            </w:r>
          </w:p>
          <w:p>
            <w:pPr>
              <w:spacing w:after="20" w:before="0"/>
              <w:jc w:val="center"/>
            </w:pPr>
            <w:r>
              <w:rPr>
                <w:rFonts w:ascii="Arial" w:cs="Arial" w:eastAsia="Arial" w:hAnsi="Arial"/>
                <w:color w:val="666666"/>
                <w:sz w:val="16"/>
                <w:szCs w:val="16"/>
              </w:rPr>
              <w:t xml:space="preserve">DNS · SNI · Host</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03</w:t>
            </w:r>
          </w:p>
          <w:p>
            <w:pPr>
              <w:spacing w:after="40" w:before="0"/>
              <w:jc w:val="center"/>
            </w:pPr>
            <w:r>
              <w:rPr>
                <w:rFonts w:ascii="Arial" w:cs="Arial" w:eastAsia="Arial" w:hAnsi="Arial"/>
                <w:b/>
                <w:bCs/>
                <w:color w:val="111111"/>
                <w:sz w:val="18"/>
                <w:szCs w:val="18"/>
              </w:rPr>
              <w:t xml:space="preserve">Identity</w:t>
            </w:r>
          </w:p>
          <w:p>
            <w:pPr>
              <w:spacing w:after="20" w:before="0"/>
              <w:jc w:val="center"/>
            </w:pPr>
            <w:r>
              <w:rPr>
                <w:rFonts w:ascii="Arial" w:cs="Arial" w:eastAsia="Arial" w:hAnsi="Arial"/>
                <w:color w:val="666666"/>
                <w:sz w:val="16"/>
                <w:szCs w:val="16"/>
              </w:rPr>
              <w:t xml:space="preserve">ns · pod · comm</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04</w:t>
            </w:r>
          </w:p>
          <w:p>
            <w:pPr>
              <w:spacing w:after="40" w:before="0"/>
              <w:jc w:val="center"/>
            </w:pPr>
            <w:r>
              <w:rPr>
                <w:rFonts w:ascii="Arial" w:cs="Arial" w:eastAsia="Arial" w:hAnsi="Arial"/>
                <w:b/>
                <w:bCs/>
                <w:color w:val="111111"/>
                <w:sz w:val="18"/>
                <w:szCs w:val="18"/>
              </w:rPr>
              <w:t xml:space="preserve">Health</w:t>
            </w:r>
          </w:p>
          <w:p>
            <w:pPr>
              <w:spacing w:after="20" w:before="0"/>
              <w:jc w:val="center"/>
            </w:pPr>
            <w:r>
              <w:rPr>
                <w:rFonts w:ascii="Arial" w:cs="Arial" w:eastAsia="Arial" w:hAnsi="Arial"/>
                <w:color w:val="666666"/>
                <w:sz w:val="16"/>
                <w:szCs w:val="16"/>
              </w:rPr>
              <w:t xml:space="preserve">RTT · retrans</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05</w:t>
            </w:r>
          </w:p>
          <w:p>
            <w:pPr>
              <w:spacing w:after="40" w:before="0"/>
              <w:jc w:val="center"/>
            </w:pPr>
            <w:r>
              <w:rPr>
                <w:rFonts w:ascii="Arial" w:cs="Arial" w:eastAsia="Arial" w:hAnsi="Arial"/>
                <w:b/>
                <w:bCs/>
                <w:color w:val="111111"/>
                <w:sz w:val="18"/>
                <w:szCs w:val="18"/>
              </w:rPr>
              <w:t xml:space="preserve">Topology</w:t>
            </w:r>
          </w:p>
          <w:p>
            <w:pPr>
              <w:spacing w:after="20" w:before="0"/>
              <w:jc w:val="center"/>
            </w:pPr>
            <w:r>
              <w:rPr>
                <w:rFonts w:ascii="Arial" w:cs="Arial" w:eastAsia="Arial" w:hAnsi="Arial"/>
                <w:color w:val="666666"/>
                <w:sz w:val="16"/>
                <w:szCs w:val="16"/>
              </w:rPr>
              <w:t xml:space="preserve">dependencies</w:t>
            </w:r>
          </w:p>
        </w:tc>
      </w:tr>
    </w:tbl>
    <w:p>
      <w:pPr>
        <w:spacing w:after="120" w:before="0"/>
      </w:pPr>
      <w:r>
        <w:rPr>
          <w:rFonts w:ascii="Arial" w:cs="Arial" w:eastAsia="Arial" w:hAnsi="Arial"/>
          <w:color w:val="111111"/>
          <w:sz w:val="22"/>
          <w:szCs w:val="22"/>
        </w:rPr>
        <w:t xml:space="preserve"/>
      </w:r>
    </w:p>
    <w:p>
      <w:pPr>
        <w:pStyle w:val="Heading2"/>
        <w:spacing w:after="140" w:before="280"/>
      </w:pPr>
      <w:r>
        <w:rPr>
          <w:rFonts w:ascii="Arial" w:cs="Arial" w:eastAsia="Arial" w:hAnsi="Arial"/>
          <w:b/>
          <w:bCs/>
          <w:color w:val="F15A29"/>
          <w:sz w:val="28"/>
          <w:szCs w:val="28"/>
        </w:rPr>
        <w:t xml:space="preserve">Hard boundary</w:t>
      </w:r>
    </w:p>
    <w:p>
      <w:pPr>
        <w:spacing w:after="160" w:before="0"/>
      </w:pPr>
      <w:r>
        <w:rPr>
          <w:rFonts w:ascii="Arial" w:cs="Arial" w:eastAsia="Arial" w:hAnsi="Arial"/>
          <w:color w:val="111111"/>
          <w:sz w:val="22"/>
          <w:szCs w:val="22"/>
        </w:rPr>
        <w:t xml:space="preserve">No application payloads. No argv/cmdline. No Secret contents. DNS is ordinary UDP/53 query names. TLS is best-effort ClientHello SNI in a single skb. HTTP is method + Host only.</w:t>
      </w:r>
    </w:p>
    <w:p>
      <w:r>
        <w:br w:type="page"/>
      </w:r>
    </w:p>
    <w:p>
      <w:pPr>
        <w:pStyle w:val="Heading1"/>
        <w:spacing w:after="200" w:before="120"/>
      </w:pPr>
      <w:r>
        <w:rPr>
          <w:rFonts w:ascii="Arial" w:cs="Arial" w:eastAsia="Arial" w:hAnsi="Arial"/>
          <w:b/>
          <w:bCs/>
          <w:color w:val="111111"/>
          <w:sz w:val="36"/>
          <w:szCs w:val="36"/>
        </w:rPr>
        <w:t xml:space="preserve">Path diagnostics &amp; edge TCP intel</w:t>
      </w:r>
    </w:p>
    <w:p>
      <w:pPr>
        <w:spacing w:after="160" w:before="0"/>
      </w:pPr>
      <w:r>
        <w:rPr>
          <w:rFonts w:ascii="Arial" w:cs="Arial" w:eastAsia="Arial" w:hAnsi="Arial"/>
          <w:color w:val="111111"/>
          <w:sz w:val="22"/>
          <w:szCs w:val="22"/>
        </w:rPr>
        <w:t xml:space="preserve">Path Diagnostics measures active TCP connect-establishment latency and exports transport pressure (cwnd, packets_out, retransmits, lost_out, delivered rate) per cgroup/workload.</w:t>
      </w:r>
    </w:p>
    <w:p>
      <w:pPr>
        <w:spacing w:after="160" w:before="0"/>
      </w:pPr>
      <w:r>
        <w:rPr>
          <w:rFonts w:ascii="Arial" w:cs="Arial" w:eastAsia="Arial" w:hAnsi="Arial"/>
          <w:color w:val="111111"/>
          <w:sz w:val="22"/>
          <w:szCs w:val="22"/>
        </w:rPr>
        <w:t xml:space="preserve">A standalone TCX edge observer adds handshake/RTT histograms and retransmit/RST/FIN counters that see pre-NAT forwarded flows the local socket layer never attaches to.</w:t>
      </w:r>
    </w:p>
    <w:p>
      <w:pPr>
        <w:spacing w:after="80" w:before="120"/>
        <w:jc w:val="center"/>
      </w:pPr>
      <w:r>
        <w:drawing>
          <wp:inline distT="0" distB="0" distL="0" distR="0">
            <wp:extent cx="5143500" cy="2857500"/>
            <wp:effectExtent t="0" r="0" b="0" l="0"/>
            <wp:docPr id="1" name="ui" descr="Illustrative lab UI" title="Netra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160" w:before="0"/>
        <w:jc w:val="center"/>
      </w:pPr>
      <w:r>
        <w:rPr>
          <w:rFonts w:ascii="Arial" w:cs="Arial" w:eastAsia="Arial" w:hAnsi="Arial"/>
          <w:i/>
          <w:iCs/>
          <w:color w:val="666666"/>
          <w:sz w:val="16"/>
          <w:szCs w:val="16"/>
        </w:rPr>
        <w:t xml:space="preserve">Illustrative lab UI — Path Diagnostics with edge TCP intel.</w:t>
      </w:r>
    </w:p>
    <w:p>
      <w:r>
        <w:br w:type="page"/>
      </w:r>
    </w:p>
    <w:p>
      <w:pPr>
        <w:pStyle w:val="Heading1"/>
        <w:spacing w:after="200" w:before="120"/>
      </w:pPr>
      <w:r>
        <w:rPr>
          <w:rFonts w:ascii="Arial" w:cs="Arial" w:eastAsia="Arial" w:hAnsi="Arial"/>
          <w:b/>
          <w:bCs/>
          <w:color w:val="111111"/>
          <w:sz w:val="36"/>
          <w:szCs w:val="36"/>
        </w:rPr>
        <w:t xml:space="preserve">Drop diagnostics &amp; Congestion Map</w:t>
      </w:r>
    </w:p>
    <w:p>
      <w:pPr>
        <w:spacing w:after="160" w:before="0"/>
      </w:pPr>
      <w:r>
        <w:rPr>
          <w:rFonts w:ascii="Arial" w:cs="Arial" w:eastAsia="Arial" w:hAnsi="Arial"/>
          <w:color w:val="111111"/>
          <w:sz w:val="22"/>
          <w:szCs w:val="22"/>
        </w:rPr>
        <w:t xml:space="preserve">Drop Diagnostics combines optional kfree_skb drop-reason counters with Linux softnet, interface, and qdisc statistics — answering where packets die when CNI verdicts look fine.</w:t>
      </w:r>
    </w:p>
    <w:p>
      <w:pPr>
        <w:spacing w:after="160" w:before="0"/>
      </w:pPr>
      <w:r>
        <w:rPr>
          <w:rFonts w:ascii="Arial" w:cs="Arial" w:eastAsia="Arial" w:hAnsi="Arial"/>
          <w:color w:val="111111"/>
          <w:sz w:val="22"/>
          <w:szCs w:val="22"/>
        </w:rPr>
        <w:t xml:space="preserve">The Congestion Map paints every stack stage across the cluster by severity. Critical findings deep-link to Capture; opt-in auto-capture can persist a PCAP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01</w:t>
            </w:r>
          </w:p>
          <w:p>
            <w:pPr>
              <w:spacing w:after="40" w:before="0"/>
              <w:jc w:val="center"/>
            </w:pPr>
            <w:r>
              <w:rPr>
                <w:rFonts w:ascii="Arial" w:cs="Arial" w:eastAsia="Arial" w:hAnsi="Arial"/>
                <w:b/>
                <w:bCs/>
                <w:color w:val="111111"/>
                <w:sz w:val="18"/>
                <w:szCs w:val="18"/>
              </w:rPr>
              <w:t xml:space="preserve">NIC</w:t>
            </w:r>
          </w:p>
          <w:p>
            <w:pPr>
              <w:spacing w:after="20" w:before="0"/>
              <w:jc w:val="center"/>
            </w:pPr>
            <w:r>
              <w:rPr>
                <w:rFonts w:ascii="Arial" w:cs="Arial" w:eastAsia="Arial" w:hAnsi="Arial"/>
                <w:color w:val="666666"/>
                <w:sz w:val="16"/>
                <w:szCs w:val="16"/>
              </w:rPr>
              <w:t xml:space="preserve">driver / RX</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02</w:t>
            </w:r>
          </w:p>
          <w:p>
            <w:pPr>
              <w:spacing w:after="40" w:before="0"/>
              <w:jc w:val="center"/>
            </w:pPr>
            <w:r>
              <w:rPr>
                <w:rFonts w:ascii="Arial" w:cs="Arial" w:eastAsia="Arial" w:hAnsi="Arial"/>
                <w:b/>
                <w:bCs/>
                <w:color w:val="111111"/>
                <w:sz w:val="18"/>
                <w:szCs w:val="18"/>
              </w:rPr>
              <w:t xml:space="preserve">softnet</w:t>
            </w:r>
          </w:p>
          <w:p>
            <w:pPr>
              <w:spacing w:after="20" w:before="0"/>
              <w:jc w:val="center"/>
            </w:pPr>
            <w:r>
              <w:rPr>
                <w:rFonts w:ascii="Arial" w:cs="Arial" w:eastAsia="Arial" w:hAnsi="Arial"/>
                <w:color w:val="666666"/>
                <w:sz w:val="16"/>
                <w:szCs w:val="16"/>
              </w:rPr>
              <w:t xml:space="preserve">backlog</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03</w:t>
            </w:r>
          </w:p>
          <w:p>
            <w:pPr>
              <w:spacing w:after="40" w:before="0"/>
              <w:jc w:val="center"/>
            </w:pPr>
            <w:r>
              <w:rPr>
                <w:rFonts w:ascii="Arial" w:cs="Arial" w:eastAsia="Arial" w:hAnsi="Arial"/>
                <w:b/>
                <w:bCs/>
                <w:color w:val="111111"/>
                <w:sz w:val="18"/>
                <w:szCs w:val="18"/>
              </w:rPr>
              <w:t xml:space="preserve">qdisc</w:t>
            </w:r>
          </w:p>
          <w:p>
            <w:pPr>
              <w:spacing w:after="20" w:before="0"/>
              <w:jc w:val="center"/>
            </w:pPr>
            <w:r>
              <w:rPr>
                <w:rFonts w:ascii="Arial" w:cs="Arial" w:eastAsia="Arial" w:hAnsi="Arial"/>
                <w:color w:val="666666"/>
                <w:sz w:val="16"/>
                <w:szCs w:val="16"/>
              </w:rPr>
              <w:t xml:space="preserve">egress</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04</w:t>
            </w:r>
          </w:p>
          <w:p>
            <w:pPr>
              <w:spacing w:after="40" w:before="0"/>
              <w:jc w:val="center"/>
            </w:pPr>
            <w:r>
              <w:rPr>
                <w:rFonts w:ascii="Arial" w:cs="Arial" w:eastAsia="Arial" w:hAnsi="Arial"/>
                <w:b/>
                <w:bCs/>
                <w:color w:val="111111"/>
                <w:sz w:val="18"/>
                <w:szCs w:val="18"/>
              </w:rPr>
              <w:t xml:space="preserve">socket</w:t>
            </w:r>
          </w:p>
          <w:p>
            <w:pPr>
              <w:spacing w:after="20" w:before="0"/>
              <w:jc w:val="center"/>
            </w:pPr>
            <w:r>
              <w:rPr>
                <w:rFonts w:ascii="Arial" w:cs="Arial" w:eastAsia="Arial" w:hAnsi="Arial"/>
                <w:color w:val="666666"/>
                <w:sz w:val="16"/>
                <w:szCs w:val="16"/>
              </w:rPr>
              <w:t xml:space="preserve">TCP pressure</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05</w:t>
            </w:r>
          </w:p>
          <w:p>
            <w:pPr>
              <w:spacing w:after="40" w:before="0"/>
              <w:jc w:val="center"/>
            </w:pPr>
            <w:r>
              <w:rPr>
                <w:rFonts w:ascii="Arial" w:cs="Arial" w:eastAsia="Arial" w:hAnsi="Arial"/>
                <w:b/>
                <w:bCs/>
                <w:color w:val="111111"/>
                <w:sz w:val="18"/>
                <w:szCs w:val="18"/>
              </w:rPr>
              <w:t xml:space="preserve">Capture</w:t>
            </w:r>
          </w:p>
          <w:p>
            <w:pPr>
              <w:spacing w:after="20" w:before="0"/>
              <w:jc w:val="center"/>
            </w:pPr>
            <w:r>
              <w:rPr>
                <w:rFonts w:ascii="Arial" w:cs="Arial" w:eastAsia="Arial" w:hAnsi="Arial"/>
                <w:color w:val="666666"/>
                <w:sz w:val="16"/>
                <w:szCs w:val="16"/>
              </w:rPr>
              <w:t xml:space="preserve">evidence</w:t>
            </w:r>
          </w:p>
        </w:tc>
      </w:tr>
    </w:tbl>
    <w:p>
      <w:pPr>
        <w:spacing w:after="120" w:before="0"/>
      </w:pPr>
      <w:r>
        <w:rPr>
          <w:rFonts w:ascii="Arial" w:cs="Arial" w:eastAsia="Arial" w:hAnsi="Arial"/>
          <w:color w:val="111111"/>
          <w:sz w:val="22"/>
          <w:szCs w:val="22"/>
        </w:rPr>
        <w:t xml:space="preserve"/>
      </w:r>
    </w:p>
    <w:p>
      <w:pPr>
        <w:spacing w:after="80" w:before="120"/>
        <w:jc w:val="center"/>
      </w:pPr>
      <w:r>
        <w:drawing>
          <wp:inline distT="0" distB="0" distL="0" distR="0">
            <wp:extent cx="5143500" cy="2857500"/>
            <wp:effectExtent t="0" r="0" b="0" l="0"/>
            <wp:docPr id="1" name="ui" descr="Illustrative lab UI" title="Netra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60" w:before="0"/>
        <w:jc w:val="center"/>
      </w:pPr>
      <w:r>
        <w:rPr>
          <w:rFonts w:ascii="Arial" w:cs="Arial" w:eastAsia="Arial" w:hAnsi="Arial"/>
          <w:i/>
          <w:iCs/>
          <w:color w:val="666666"/>
          <w:sz w:val="16"/>
          <w:szCs w:val="16"/>
        </w:rPr>
        <w:t xml:space="preserve">Illustrative lab UI — Congestion Map colored by severity.</w:t>
      </w:r>
    </w:p>
    <w:p>
      <w:pPr>
        <w:spacing w:after="160" w:before="0"/>
      </w:pPr>
      <w:r>
        <w:rPr>
          <w:rFonts w:ascii="Arial" w:cs="Arial" w:eastAsia="Arial" w:hAnsi="Arial"/>
          <w:color w:val="666666"/>
          <w:sz w:val="20"/>
          <w:szCs w:val="20"/>
        </w:rPr>
        <w:t xml:space="preserve">Netra never writes a sysctl. Tuning guidance is review-only and reversible.</w:t>
      </w:r>
    </w:p>
    <w:p>
      <w:r>
        <w:br w:type="page"/>
      </w:r>
    </w:p>
    <w:p>
      <w:pPr>
        <w:pStyle w:val="Heading1"/>
        <w:spacing w:after="200" w:before="120"/>
      </w:pPr>
      <w:r>
        <w:rPr>
          <w:rFonts w:ascii="Arial" w:cs="Arial" w:eastAsia="Arial" w:hAnsi="Arial"/>
          <w:b/>
          <w:bCs/>
          <w:color w:val="111111"/>
          <w:sz w:val="36"/>
          <w:szCs w:val="36"/>
        </w:rPr>
        <w:t xml:space="preserve">Packet capture &amp; auto-capture</w:t>
      </w:r>
    </w:p>
    <w:p>
      <w:pPr>
        <w:spacing w:after="160" w:before="0"/>
      </w:pPr>
      <w:r>
        <w:rPr>
          <w:rFonts w:ascii="Arial" w:cs="Arial" w:eastAsia="Arial" w:hAnsi="Arial"/>
          <w:color w:val="111111"/>
          <w:sz w:val="22"/>
          <w:szCs w:val="22"/>
        </w:rPr>
        <w:t xml:space="preserve">Operators start a filtered, time-bounded capture on one or many nodes. Backends: eBPF (default, in-kernel) or AF_PACKET (userspace). Live stream, Wireshark-style decode, and .pcap export.</w:t>
      </w:r>
    </w:p>
    <w:p>
      <w:pPr>
        <w:pStyle w:val="Heading2"/>
        <w:spacing w:after="140" w:before="280"/>
      </w:pPr>
      <w:r>
        <w:rPr>
          <w:rFonts w:ascii="Arial" w:cs="Arial" w:eastAsia="Arial" w:hAnsi="Arial"/>
          <w:b/>
          <w:bCs/>
          <w:color w:val="F15A29"/>
          <w:sz w:val="28"/>
          <w:szCs w:val="28"/>
        </w:rPr>
        <w:t xml:space="preserve">Auto-capture (opt-in)</w:t>
      </w:r>
    </w:p>
    <w:p>
      <w:pPr>
        <w:spacing w:after="160" w:before="0"/>
      </w:pPr>
      <w:r>
        <w:rPr>
          <w:rFonts w:ascii="Arial" w:cs="Arial" w:eastAsia="Arial" w:hAnsi="Arial"/>
          <w:color w:val="111111"/>
          <w:sz w:val="22"/>
          <w:szCs w:val="22"/>
        </w:rPr>
        <w:t xml:space="preserve">When NETRA_AUTO_CAPTURE is enabled, critical softnet drops (≥1000), Congestion Map critical findings, and critical drop-rate spikes start a filtered capture and write a classic PCAP under NETRA_AUTO_CAPTURE_DIR — linked from capture history for download.</w:t>
      </w:r>
    </w:p>
    <w:p>
      <w:pPr>
        <w:spacing w:after="80" w:before="120"/>
        <w:jc w:val="center"/>
      </w:pPr>
      <w:r>
        <w:drawing>
          <wp:inline distT="0" distB="0" distL="0" distR="0">
            <wp:extent cx="5143500" cy="2857500"/>
            <wp:effectExtent t="0" r="0" b="0" l="0"/>
            <wp:docPr id="1" name="ui" descr="Illustrative lab UI" title="Netra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60" w:before="0"/>
        <w:jc w:val="center"/>
      </w:pPr>
      <w:r>
        <w:rPr>
          <w:rFonts w:ascii="Arial" w:cs="Arial" w:eastAsia="Arial" w:hAnsi="Arial"/>
          <w:i/>
          <w:iCs/>
          <w:color w:val="666666"/>
          <w:sz w:val="16"/>
          <w:szCs w:val="16"/>
        </w:rPr>
        <w:t xml:space="preserve">Illustrative lab UI — Capture live view.</w:t>
      </w:r>
    </w:p>
    <w:p>
      <w:r>
        <w:br w:type="page"/>
      </w:r>
    </w:p>
    <w:p>
      <w:pPr>
        <w:pStyle w:val="Heading1"/>
        <w:spacing w:after="200" w:before="120"/>
      </w:pPr>
      <w:r>
        <w:rPr>
          <w:rFonts w:ascii="Arial" w:cs="Arial" w:eastAsia="Arial" w:hAnsi="Arial"/>
          <w:b/>
          <w:bCs/>
          <w:color w:val="111111"/>
          <w:sz w:val="36"/>
          <w:szCs w:val="36"/>
        </w:rPr>
        <w:t xml:space="preserve">Emergency firewall — leased enforce</w:t>
      </w:r>
    </w:p>
    <w:p>
      <w:pPr>
        <w:spacing w:after="160" w:before="0"/>
      </w:pPr>
      <w:r>
        <w:rPr>
          <w:rFonts w:ascii="Arial" w:cs="Arial" w:eastAsia="Arial" w:hAnsi="Arial"/>
          <w:color w:val="111111"/>
          <w:sz w:val="22"/>
          <w:szCs w:val="22"/>
        </w:rPr>
        <w:t xml:space="preserve">Netra’s containment layer is deliberately an emergency/containment tool — not a full CNI policy engine, QoS system, L7 proxy, or IDS/IPS.</w:t>
      </w:r>
    </w:p>
    <w:p>
      <w:pPr>
        <w:pStyle w:val="Heading2"/>
        <w:spacing w:after="140" w:before="280"/>
      </w:pPr>
      <w:r>
        <w:rPr>
          <w:rFonts w:ascii="Arial" w:cs="Arial" w:eastAsia="Arial" w:hAnsi="Arial"/>
          <w:b/>
          <w:bCs/>
          <w:color w:val="F15A29"/>
          <w:sz w:val="28"/>
          <w:szCs w:val="28"/>
        </w:rPr>
        <w:t xml:space="preserve">What you can deny (examples)</w:t>
      </w:r>
    </w:p>
    <w:p>
      <w:pPr>
        <w:pStyle w:val="ListParagraph"/>
        <w:numPr>
          <w:ilvl w:val="0"/>
          <w:numId w:val="3"/>
        </w:numPr>
        <w:spacing w:after="60"/>
      </w:pPr>
      <w:r>
        <w:rPr>
          <w:rFonts w:ascii="Arial" w:cs="Arial" w:eastAsia="Arial" w:hAnsi="Arial"/>
          <w:sz w:val="20"/>
          <w:szCs w:val="20"/>
        </w:rPr>
        <w:t xml:space="preserve">Exact IPv4/IPv6 and CIDR deny (ingress/egress), optional SYN-drop mode</w:t>
      </w:r>
    </w:p>
    <w:p>
      <w:pPr>
        <w:pStyle w:val="ListParagraph"/>
        <w:numPr>
          <w:ilvl w:val="0"/>
          <w:numId w:val="3"/>
        </w:numPr>
        <w:spacing w:after="60"/>
      </w:pPr>
      <w:r>
        <w:rPr>
          <w:rFonts w:ascii="Arial" w:cs="Arial" w:eastAsia="Arial" w:hAnsi="Arial"/>
          <w:sz w:val="20"/>
          <w:szCs w:val="20"/>
        </w:rPr>
        <w:t xml:space="preserve">Port, DNS name, TLS SNI, UID, process comm — with allow-exceptions</w:t>
      </w:r>
    </w:p>
    <w:p>
      <w:pPr>
        <w:pStyle w:val="ListParagraph"/>
        <w:numPr>
          <w:ilvl w:val="0"/>
          <w:numId w:val="3"/>
        </w:numPr>
        <w:spacing w:after="60"/>
      </w:pPr>
      <w:r>
        <w:rPr>
          <w:rFonts w:ascii="Arial" w:cs="Arial" w:eastAsia="Arial" w:hAnsi="Arial"/>
          <w:sz w:val="20"/>
          <w:szCs w:val="20"/>
        </w:rPr>
        <w:t xml:space="preserve">PPS/BPS ceilings and per-workload new-TCP connection-rate caps</w:t>
      </w:r>
    </w:p>
    <w:p>
      <w:pPr>
        <w:pStyle w:val="ListParagraph"/>
        <w:numPr>
          <w:ilvl w:val="0"/>
          <w:numId w:val="3"/>
        </w:numPr>
        <w:spacing w:after="60"/>
      </w:pPr>
      <w:r>
        <w:rPr>
          <w:rFonts w:ascii="Arial" w:cs="Arial" w:eastAsia="Arial" w:hAnsi="Arial"/>
          <w:sz w:val="20"/>
          <w:szCs w:val="20"/>
        </w:rPr>
        <w:t xml:space="preserve">Optional XDP early ingress on selected interfaces</w:t>
      </w:r>
    </w:p>
    <w:p>
      <w:pPr>
        <w:pStyle w:val="Heading2"/>
        <w:spacing w:after="140" w:before="280"/>
      </w:pPr>
      <w:r>
        <w:rPr>
          <w:rFonts w:ascii="Arial" w:cs="Arial" w:eastAsia="Arial" w:hAnsi="Arial"/>
          <w:b/>
          <w:bCs/>
          <w:color w:val="F15A29"/>
          <w:sz w:val="28"/>
          <w:szCs w:val="28"/>
        </w:rPr>
        <w:t xml:space="preserve">Lease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01</w:t>
            </w:r>
          </w:p>
          <w:p>
            <w:pPr>
              <w:spacing w:after="40" w:before="0"/>
              <w:jc w:val="center"/>
            </w:pPr>
            <w:r>
              <w:rPr>
                <w:rFonts w:ascii="Arial" w:cs="Arial" w:eastAsia="Arial" w:hAnsi="Arial"/>
                <w:b/>
                <w:bCs/>
                <w:color w:val="111111"/>
                <w:sz w:val="18"/>
                <w:szCs w:val="18"/>
              </w:rPr>
              <w:t xml:space="preserve">Observe</w:t>
            </w:r>
          </w:p>
          <w:p>
            <w:pPr>
              <w:spacing w:after="20" w:before="0"/>
              <w:jc w:val="center"/>
            </w:pPr>
            <w:r>
              <w:rPr>
                <w:rFonts w:ascii="Arial" w:cs="Arial" w:eastAsia="Arial" w:hAnsi="Arial"/>
                <w:color w:val="666666"/>
                <w:sz w:val="16"/>
                <w:szCs w:val="16"/>
              </w:rPr>
              <w:t xml:space="preserve">default</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02</w:t>
            </w:r>
          </w:p>
          <w:p>
            <w:pPr>
              <w:spacing w:after="40" w:before="0"/>
              <w:jc w:val="center"/>
            </w:pPr>
            <w:r>
              <w:rPr>
                <w:rFonts w:ascii="Arial" w:cs="Arial" w:eastAsia="Arial" w:hAnsi="Arial"/>
                <w:b/>
                <w:bCs/>
                <w:color w:val="111111"/>
                <w:sz w:val="18"/>
                <w:szCs w:val="18"/>
              </w:rPr>
              <w:t xml:space="preserve">Plan</w:t>
            </w:r>
          </w:p>
          <w:p>
            <w:pPr>
              <w:spacing w:after="20" w:before="0"/>
              <w:jc w:val="center"/>
            </w:pPr>
            <w:r>
              <w:rPr>
                <w:rFonts w:ascii="Arial" w:cs="Arial" w:eastAsia="Arial" w:hAnsi="Arial"/>
                <w:color w:val="666666"/>
                <w:sz w:val="16"/>
                <w:szCs w:val="16"/>
              </w:rPr>
              <w:t xml:space="preserve">confirm</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03</w:t>
            </w:r>
          </w:p>
          <w:p>
            <w:pPr>
              <w:spacing w:after="40" w:before="0"/>
              <w:jc w:val="center"/>
            </w:pPr>
            <w:r>
              <w:rPr>
                <w:rFonts w:ascii="Arial" w:cs="Arial" w:eastAsia="Arial" w:hAnsi="Arial"/>
                <w:b/>
                <w:bCs/>
                <w:color w:val="111111"/>
                <w:sz w:val="18"/>
                <w:szCs w:val="18"/>
              </w:rPr>
              <w:t xml:space="preserve">Enforce</w:t>
            </w:r>
          </w:p>
          <w:p>
            <w:pPr>
              <w:spacing w:after="20" w:before="0"/>
              <w:jc w:val="center"/>
            </w:pPr>
            <w:r>
              <w:rPr>
                <w:rFonts w:ascii="Arial" w:cs="Arial" w:eastAsia="Arial" w:hAnsi="Arial"/>
                <w:color w:val="666666"/>
                <w:sz w:val="16"/>
                <w:szCs w:val="16"/>
              </w:rPr>
              <w:t xml:space="preserve">leased</w:t>
            </w:r>
          </w:p>
        </w:tc>
        <w:tc>
          <w:tcPr>
            <w:tcW w:type="dxa" w:w="200"/>
            <w:tcBorders>
              <w:top w:val="none"/>
              <w:left w:val="none"/>
              <w:bottom w:val="none"/>
              <w:right w:val="none"/>
            </w:tcBorders>
            <w:vAlign w:val="center"/>
          </w:tcPr>
          <w:p>
            <w:pPr>
              <w:spacing w:after="0" w:before="0"/>
              <w:jc w:val="center"/>
            </w:pPr>
            <w:r>
              <w:rPr>
                <w:rFonts w:ascii="Arial" w:cs="Arial" w:eastAsia="Arial" w:hAnsi="Arial"/>
                <w:b/>
                <w:bCs/>
                <w:color w:val="F15A29"/>
                <w:sz w:val="22"/>
                <w:szCs w:val="22"/>
              </w:rPr>
              <w:t xml:space="preserve">→</w:t>
            </w:r>
          </w:p>
        </w:tc>
        <w:tc>
          <w:tcPr>
            <w:tcW w:type="dxa" w:w="1700"/>
            <w:tcBorders>
              <w:top w:val="single" w:color="DDDDDD" w:sz="8"/>
              <w:left w:val="single" w:color="DDDDDD" w:sz="8"/>
              <w:bottom w:val="single" w:color="DDDDDD" w:sz="8"/>
              <w:right w:val="single" w:color="DDDDDD" w:sz="8"/>
            </w:tcBorders>
            <w:shd w:fill="FFFFFF" w:val="clear"/>
            <w:tcMar>
              <w:top w:type="dxa" w:w="80"/>
              <w:left w:type="dxa" w:w="80"/>
              <w:bottom w:type="dxa" w:w="80"/>
              <w:right w:type="dxa" w:w="80"/>
            </w:tcMar>
          </w:tcPr>
          <w:p>
            <w:pPr>
              <w:spacing w:after="40" w:before="0"/>
              <w:jc w:val="center"/>
            </w:pPr>
            <w:r>
              <w:rPr>
                <w:rFonts w:ascii="Arial" w:cs="Arial" w:eastAsia="Arial" w:hAnsi="Arial"/>
                <w:b/>
                <w:bCs/>
                <w:color w:val="F15A29"/>
                <w:sz w:val="16"/>
                <w:szCs w:val="16"/>
              </w:rPr>
              <w:t xml:space="preserve">04</w:t>
            </w:r>
          </w:p>
          <w:p>
            <w:pPr>
              <w:spacing w:after="40" w:before="0"/>
              <w:jc w:val="center"/>
            </w:pPr>
            <w:r>
              <w:rPr>
                <w:rFonts w:ascii="Arial" w:cs="Arial" w:eastAsia="Arial" w:hAnsi="Arial"/>
                <w:b/>
                <w:bCs/>
                <w:color w:val="111111"/>
                <w:sz w:val="18"/>
                <w:szCs w:val="18"/>
              </w:rPr>
              <w:t xml:space="preserve">Revert</w:t>
            </w:r>
          </w:p>
          <w:p>
            <w:pPr>
              <w:spacing w:after="20" w:before="0"/>
              <w:jc w:val="center"/>
            </w:pPr>
            <w:r>
              <w:rPr>
                <w:rFonts w:ascii="Arial" w:cs="Arial" w:eastAsia="Arial" w:hAnsi="Arial"/>
                <w:color w:val="666666"/>
                <w:sz w:val="16"/>
                <w:szCs w:val="16"/>
              </w:rPr>
              <w:t xml:space="preserve">fail open</w:t>
            </w:r>
          </w:p>
        </w:tc>
      </w:tr>
    </w:tbl>
    <w:p>
      <w:pPr>
        <w:spacing w:after="120" w:before="0"/>
      </w:pPr>
      <w:r>
        <w:rPr>
          <w:rFonts w:ascii="Arial" w:cs="Arial" w:eastAsia="Arial" w:hAnsi="Arial"/>
          <w:color w:val="111111"/>
          <w:sz w:val="22"/>
          <w:szCs w:val="22"/>
        </w:rPr>
        <w:t xml:space="preserve"/>
      </w:r>
    </w:p>
    <w:p>
      <w:pPr>
        <w:spacing w:after="160" w:before="0"/>
      </w:pPr>
      <w:r>
        <w:rPr>
          <w:rFonts w:ascii="Arial" w:cs="Arial" w:eastAsia="Arial" w:hAnsi="Arial"/>
          <w:color w:val="111111"/>
          <w:sz w:val="22"/>
          <w:szCs w:val="22"/>
        </w:rPr>
        <w:t xml:space="preserve">Blast-radius preview matches a proposed deny against live counters and applies nothing — so operators can see impact before they confirm.</w:t>
      </w:r>
    </w:p>
    <w:p>
      <w:r>
        <w:br w:type="page"/>
      </w:r>
    </w:p>
    <w:p>
      <w:pPr>
        <w:pStyle w:val="Heading1"/>
        <w:spacing w:after="200" w:before="120"/>
      </w:pPr>
      <w:r>
        <w:rPr>
          <w:rFonts w:ascii="Arial" w:cs="Arial" w:eastAsia="Arial" w:hAnsi="Arial"/>
          <w:b/>
          <w:bCs/>
          <w:color w:val="111111"/>
          <w:sz w:val="36"/>
          <w:szCs w:val="36"/>
        </w:rPr>
        <w:t xml:space="preserve">Behavior &amp; rate insights</w:t>
      </w:r>
    </w:p>
    <w:p>
      <w:pPr>
        <w:spacing w:after="160" w:before="0"/>
      </w:pPr>
      <w:r>
        <w:rPr>
          <w:rFonts w:ascii="Arial" w:cs="Arial" w:eastAsia="Arial" w:hAnsi="Arial"/>
          <w:color w:val="111111"/>
          <w:sz w:val="22"/>
          <w:szCs w:val="22"/>
        </w:rPr>
        <w:t xml:space="preserve">Controller-side insights turn eBPF metadata into baselines and drift: workload dependency graph, known-good behavior baseline, newly observed destinations/DNS/SNI/HTTP hosts/ports, time-window rate baselines with deterministic multipliers, exposure scoring, and review-only remediation proposals.</w:t>
      </w:r>
    </w:p>
    <w:p>
      <w:pPr>
        <w:spacing w:after="160" w:before="0"/>
      </w:pPr>
      <w:r>
        <w:rPr>
          <w:rFonts w:ascii="Arial" w:cs="Arial" w:eastAsia="Arial" w:hAnsi="Arial"/>
          <w:color w:val="666666"/>
          <w:sz w:val="20"/>
          <w:szCs w:val="20"/>
        </w:rPr>
        <w:t xml:space="preserve">Netra never auto-applies learned policy. Baselines are explicit operator decisions.</w:t>
      </w:r>
    </w:p>
    <w:p>
      <w:pPr>
        <w:pStyle w:val="Heading2"/>
        <w:spacing w:after="140" w:before="280"/>
      </w:pPr>
      <w:r>
        <w:rPr>
          <w:rFonts w:ascii="Arial" w:cs="Arial" w:eastAsia="Arial" w:hAnsi="Arial"/>
          <w:b/>
          <w:bCs/>
          <w:color w:val="F15A29"/>
          <w:sz w:val="28"/>
          <w:szCs w:val="28"/>
        </w:rPr>
        <w:t xml:space="preserve">Alerting &amp; export</w:t>
      </w:r>
    </w:p>
    <w:p>
      <w:pPr>
        <w:spacing w:after="160" w:before="0"/>
      </w:pPr>
      <w:r>
        <w:rPr>
          <w:rFonts w:ascii="Arial" w:cs="Arial" w:eastAsia="Arial" w:hAnsi="Arial"/>
          <w:color w:val="111111"/>
          <w:sz w:val="22"/>
          <w:szCs w:val="22"/>
        </w:rPr>
        <w:t xml:space="preserve">Multi-channel notify (webhook, email, Slack, Teams, Twilio SMS/WhatsApp, HTTP bridge) runs on an interval with severity-aware cooldown. HA: leader-only. Pull SIEM export supports JSON, JSONL, CEF, syslog, and OTLP. Prometheus gauges and an importable Grafana dashboard ship with the product.</w:t>
      </w:r>
    </w:p>
    <w:p>
      <w:pPr>
        <w:pStyle w:val="Heading2"/>
        <w:spacing w:after="140" w:before="280"/>
      </w:pPr>
      <w:r>
        <w:rPr>
          <w:rFonts w:ascii="Arial" w:cs="Arial" w:eastAsia="Arial" w:hAnsi="Arial"/>
          <w:b/>
          <w:bCs/>
          <w:color w:val="F15A29"/>
          <w:sz w:val="28"/>
          <w:szCs w:val="28"/>
        </w:rPr>
        <w:t xml:space="preserve">AI, MCP &amp; ChatOps</w:t>
      </w:r>
    </w:p>
    <w:p>
      <w:pPr>
        <w:spacing w:after="160" w:before="0"/>
      </w:pPr>
      <w:r>
        <w:rPr>
          <w:rFonts w:ascii="Arial" w:cs="Arial" w:eastAsia="Arial" w:hAnsi="Arial"/>
          <w:color w:val="111111"/>
          <w:sz w:val="22"/>
          <w:szCs w:val="22"/>
        </w:rPr>
        <w:t xml:space="preserve">Ask Netra, digests, suggestions, explain, and draft are read-only — they never flip enforce mode or apply policy. Optional OpenAI-compatible rewrite; heuristic by default. netra-mcp exposes 133 tools (mutations gated off by default). Slack/Teams ChatOps mirrors the same confirmations as the UI.</w:t>
      </w:r>
    </w:p>
    <w:p>
      <w:r>
        <w:br w:type="page"/>
      </w:r>
    </w:p>
    <w:p>
      <w:pPr>
        <w:pStyle w:val="Heading1"/>
        <w:spacing w:after="200" w:before="120"/>
      </w:pPr>
      <w:r>
        <w:rPr>
          <w:rFonts w:ascii="Arial" w:cs="Arial" w:eastAsia="Arial" w:hAnsi="Arial"/>
          <w:b/>
          <w:bCs/>
          <w:color w:val="111111"/>
          <w:sz w:val="36"/>
          <w:szCs w:val="36"/>
        </w:rPr>
        <w:t xml:space="preserve">Safety, HA, and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F15A29" w:sz="12"/>
              <w:left w:val="single" w:color="F15A29" w:sz="12"/>
              <w:bottom w:val="single" w:color="F15A29" w:sz="12"/>
              <w:right w:val="single" w:color="F15A29" w:sz="12"/>
            </w:tcBorders>
            <w:shd w:fill="F7F7F5" w:val="clear"/>
            <w:tcMar>
              <w:top w:type="dxa" w:w="120"/>
              <w:left w:type="dxa" w:w="140"/>
              <w:bottom w:type="dxa" w:w="120"/>
              <w:right w:type="dxa" w:w="140"/>
            </w:tcMar>
          </w:tcPr>
          <w:p>
            <w:pPr>
              <w:spacing w:after="80" w:before="0"/>
            </w:pPr>
            <w:r>
              <w:rPr>
                <w:rFonts w:ascii="Arial" w:cs="Arial" w:eastAsia="Arial" w:hAnsi="Arial"/>
                <w:b/>
                <w:bCs/>
                <w:color w:val="F15A29"/>
                <w:sz w:val="20"/>
                <w:szCs w:val="20"/>
              </w:rPr>
              <w:t xml:space="preserve">Safety</w:t>
            </w:r>
          </w:p>
          <w:p>
            <w:pPr>
              <w:spacing w:after="40" w:before="0"/>
            </w:pPr>
            <w:r>
              <w:rPr>
                <w:rFonts w:ascii="Arial" w:cs="Arial" w:eastAsia="Arial" w:hAnsi="Arial"/>
                <w:color w:val="111111"/>
                <w:sz w:val="18"/>
                <w:szCs w:val="18"/>
              </w:rPr>
              <w:t xml:space="preserve">Observe-first. Plan-token + risk confirm. Fail open on lease expiry, agent loss, restart, or HA handoff. No Cilium map overwrite. No payload/argv/Secret collection.</w:t>
            </w:r>
          </w:p>
        </w:tc>
        <w:tc>
          <w:tcPr>
            <w:tcW w:type="dxa" w:w="160"/>
            <w:tcBorders>
              <w:top w:val="none"/>
              <w:left w:val="none"/>
              <w:bottom w:val="none"/>
              <w:right w:val="none"/>
            </w:tcBorders>
          </w:tcPr>
          <w:p>
            <w:pPr>
              <w:spacing w:after="0" w:before="0"/>
            </w:pPr>
            <w:r>
              <w:rPr>
                <w:rFonts w:ascii="Arial" w:cs="Arial" w:eastAsia="Arial" w:hAnsi="Arial"/>
                <w:color w:val="111111"/>
                <w:sz w:val="22"/>
                <w:szCs w:val="22"/>
              </w:rPr>
              <w:t xml:space="preserve"/>
            </w:r>
          </w:p>
        </w:tc>
        <w:tc>
          <w:tcPr>
            <w:tcW w:type="dxa" w:w="4600"/>
            <w:tcBorders>
              <w:top w:val="single" w:color="F15A29" w:sz="12"/>
              <w:left w:val="single" w:color="F15A29" w:sz="12"/>
              <w:bottom w:val="single" w:color="F15A29" w:sz="12"/>
              <w:right w:val="single" w:color="F15A29" w:sz="12"/>
            </w:tcBorders>
            <w:shd w:fill="F7F7F5" w:val="clear"/>
            <w:tcMar>
              <w:top w:type="dxa" w:w="120"/>
              <w:left w:type="dxa" w:w="140"/>
              <w:bottom w:type="dxa" w:w="120"/>
              <w:right w:type="dxa" w:w="140"/>
            </w:tcMar>
          </w:tcPr>
          <w:p>
            <w:pPr>
              <w:spacing w:after="80" w:before="0"/>
            </w:pPr>
            <w:r>
              <w:rPr>
                <w:rFonts w:ascii="Arial" w:cs="Arial" w:eastAsia="Arial" w:hAnsi="Arial"/>
                <w:b/>
                <w:bCs/>
                <w:color w:val="F15A29"/>
                <w:sz w:val="20"/>
                <w:szCs w:val="20"/>
              </w:rPr>
              <w:t xml:space="preserve">HA</w:t>
            </w:r>
          </w:p>
          <w:p>
            <w:pPr>
              <w:spacing w:after="40" w:before="0"/>
            </w:pPr>
            <w:r>
              <w:rPr>
                <w:rFonts w:ascii="Arial" w:cs="Arial" w:eastAsia="Arial" w:hAnsi="Arial"/>
                <w:color w:val="111111"/>
                <w:sz w:val="18"/>
                <w:szCs w:val="18"/>
              </w:rPr>
              <w:t xml:space="preserve">Active/passive Lease election + shared RWX state. Auto-capture PCAPs should sit on the same shared volume as state so failover does not orphan artifacts.</w:t>
            </w:r>
          </w:p>
        </w:tc>
      </w:tr>
    </w:tbl>
    <w:p>
      <w:pPr>
        <w:spacing w:after="160" w:before="0"/>
      </w:pPr>
      <w:r>
        <w:rPr>
          <w:rFonts w:ascii="Arial" w:cs="Arial" w:eastAsia="Arial" w:hAnsi="Arial"/>
          <w:color w:val="111111"/>
          <w:sz w:val="22"/>
          <w:szCs w:val="22"/>
        </w:rPr>
        <w:t xml:space="preserve"/>
      </w:r>
    </w:p>
    <w:p>
      <w:pPr>
        <w:spacing w:after="160" w:before="0"/>
      </w:pPr>
      <w:r>
        <w:rPr>
          <w:rFonts w:ascii="Arial" w:cs="Arial" w:eastAsia="Arial" w:hAnsi="Arial"/>
          <w:color w:val="111111"/>
          <w:sz w:val="22"/>
          <w:szCs w:val="22"/>
        </w:rPr>
        <w:t xml:space="preserve">Deploy via Helm (controller + optional agent DaemonSet). netra-doctor verifies host readiness (cgroup v2, bpffs, BTF) before privileged agent rollout.</w:t>
      </w:r>
    </w:p>
    <w:p>
      <w:r>
        <w:br w:type="page"/>
      </w:r>
    </w:p>
    <w:p>
      <w:pPr>
        <w:pStyle w:val="Heading1"/>
        <w:spacing w:after="200" w:before="120"/>
      </w:pPr>
      <w:r>
        <w:rPr>
          <w:rFonts w:ascii="Arial" w:cs="Arial" w:eastAsia="Arial" w:hAnsi="Arial"/>
          <w:b/>
          <w:bCs/>
          <w:color w:val="111111"/>
          <w:sz w:val="36"/>
          <w:szCs w:val="36"/>
        </w:rPr>
        <w:t xml:space="preserve">Zyvor suite placement — Netra &amp; PacketWolf</w:t>
      </w:r>
    </w:p>
    <w:p>
      <w:pPr>
        <w:spacing w:after="160" w:before="0"/>
      </w:pPr>
      <w:r>
        <w:rPr>
          <w:rFonts w:ascii="Arial" w:cs="Arial" w:eastAsia="Arial" w:hAnsi="Arial"/>
          <w:color w:val="111111"/>
          <w:sz w:val="22"/>
          <w:szCs w:val="22"/>
        </w:rPr>
        <w:t xml:space="preserve">Netra and PacketWolf are suite counterparts, not a wired pipeline. Neither product is a dependency or API consumer of the other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8"/>
              <w:left w:val="single" w:color="DDDDDD" w:sz="8"/>
              <w:bottom w:val="single" w:color="DDDDDD" w:sz="8"/>
              <w:right w:val="single" w:color="DDDDDD" w:sz="8"/>
            </w:tcBorders>
            <w:shd w:fill="F15A2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 </w:t>
            </w:r>
          </w:p>
        </w:tc>
        <w:tc>
          <w:tcPr>
            <w:tcW w:type="dxa" w:w="3580"/>
            <w:tcBorders>
              <w:top w:val="single" w:color="DDDDDD" w:sz="8"/>
              <w:left w:val="single" w:color="DDDDDD" w:sz="8"/>
              <w:bottom w:val="single" w:color="DDDDDD" w:sz="8"/>
              <w:right w:val="single" w:color="DDDDDD" w:sz="8"/>
            </w:tcBorders>
            <w:shd w:fill="F15A2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Netra</w:t>
            </w:r>
          </w:p>
        </w:tc>
        <w:tc>
          <w:tcPr>
            <w:tcW w:type="dxa" w:w="3580"/>
            <w:tcBorders>
              <w:top w:val="single" w:color="DDDDDD" w:sz="8"/>
              <w:left w:val="single" w:color="DDDDDD" w:sz="8"/>
              <w:bottom w:val="single" w:color="DDDDDD" w:sz="8"/>
              <w:right w:val="single" w:color="DDDDDD" w:sz="8"/>
            </w:tcBorders>
            <w:shd w:fill="F15A2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PacketWolf</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Default market</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Mixed / non-Cilium; OSS entry</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Cilium-standardized fleets</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Core job</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Observe + Path/Drop/Congestion + leased emergency deny</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Observe + AutoPolicy + healer + platform containment</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CNI dependency</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None (Cilium/Hubble optional)</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Cilium-first</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Policy posture</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Review-only drafts; enforce is time-leased, fails open</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Learns and operates Cilium policy at platform depth</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Maps</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Owns /sys/fs/bpf/netra only</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Works with Cilium datapath / policy</w:t>
            </w:r>
          </w:p>
        </w:tc>
      </w:tr>
      <w:tr>
        <w:tc>
          <w:tcPr>
            <w:tcW w:type="dxa" w:w="220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Relationship</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Suite counterpart — not a PacketWolf agent or API consumer</w:t>
            </w:r>
          </w:p>
        </w:tc>
        <w:tc>
          <w:tcPr>
            <w:tcW w:type="dxa" w:w="3580"/>
            <w:tcBorders>
              <w:top w:val="single" w:color="DDDDDD" w:sz="8"/>
              <w:left w:val="single" w:color="DDDDDD" w:sz="8"/>
              <w:bottom w:val="single" w:color="DDDDDD" w:sz="8"/>
              <w:right w:val="single" w:color="DDDDDD" w:sz="8"/>
            </w:tcBorders>
            <w:tcMar>
              <w:top w:type="dxa" w:w="80"/>
              <w:left w:type="dxa" w:w="100"/>
              <w:bottom w:type="dxa" w:w="80"/>
              <w:right w:type="dxa" w:w="100"/>
            </w:tcMar>
          </w:tcPr>
          <w:p>
            <w:pPr>
              <w:spacing w:after="0" w:before="0"/>
            </w:pPr>
            <w:r>
              <w:rPr>
                <w:rFonts w:ascii="Arial" w:cs="Arial" w:eastAsia="Arial" w:hAnsi="Arial"/>
                <w:color w:val="111111"/>
                <w:sz w:val="17"/>
                <w:szCs w:val="17"/>
              </w:rPr>
              <w:t xml:space="preserve">Suite counterpart — no Netra control-plane sync today</w:t>
            </w:r>
          </w:p>
        </w:tc>
      </w:tr>
    </w:tbl>
    <w:p>
      <w:pPr>
        <w:spacing w:after="160" w:before="0"/>
      </w:pPr>
      <w:r>
        <w:rPr>
          <w:rFonts w:ascii="Arial" w:cs="Arial" w:eastAsia="Arial" w:hAnsi="Arial"/>
          <w:color w:val="111111"/>
          <w:sz w:val="22"/>
          <w:szCs w:val="22"/>
        </w:rPr>
        <w:t xml:space="preserve"/>
      </w:r>
    </w:p>
    <w:p>
      <w:pPr>
        <w:pStyle w:val="Heading2"/>
        <w:spacing w:after="140" w:before="280"/>
      </w:pPr>
      <w:r>
        <w:rPr>
          <w:rFonts w:ascii="Arial" w:cs="Arial" w:eastAsia="Arial" w:hAnsi="Arial"/>
          <w:b/>
          <w:bCs/>
          <w:color w:val="F15A29"/>
          <w:sz w:val="28"/>
          <w:szCs w:val="28"/>
        </w:rPr>
        <w:t xml:space="preserve">Co-existence rules</w:t>
      </w:r>
    </w:p>
    <w:p>
      <w:pPr>
        <w:pStyle w:val="ListParagraph"/>
        <w:numPr>
          <w:ilvl w:val="0"/>
          <w:numId w:val="2"/>
        </w:numPr>
        <w:spacing w:after="80"/>
      </w:pPr>
      <w:r>
        <w:rPr>
          <w:rFonts w:ascii="Arial" w:cs="Arial" w:eastAsia="Arial" w:hAnsi="Arial"/>
          <w:sz w:val="20"/>
          <w:szCs w:val="20"/>
        </w:rPr>
        <w:t xml:space="preserve">Same cluster is allowed but not required — Netra maps stay isolated.</w:t>
      </w:r>
    </w:p>
    <w:p>
      <w:pPr>
        <w:pStyle w:val="ListParagraph"/>
        <w:numPr>
          <w:ilvl w:val="0"/>
          <w:numId w:val="2"/>
        </w:numPr>
        <w:spacing w:after="80"/>
      </w:pPr>
      <w:r>
        <w:rPr>
          <w:rFonts w:ascii="Arial" w:cs="Arial" w:eastAsia="Arial" w:hAnsi="Arial"/>
          <w:sz w:val="20"/>
          <w:szCs w:val="20"/>
        </w:rPr>
        <w:t xml:space="preserve">Do not dual-own long-lived deny: PacketWolf/Cilium for durable posture; Netra leases for incident kill-switch that auto-reverts.</w:t>
      </w:r>
    </w:p>
    <w:p>
      <w:pPr>
        <w:pStyle w:val="ListParagraph"/>
        <w:numPr>
          <w:ilvl w:val="0"/>
          <w:numId w:val="2"/>
        </w:numPr>
        <w:spacing w:after="80"/>
      </w:pPr>
      <w:r>
        <w:rPr>
          <w:rFonts w:ascii="Arial" w:cs="Arial" w:eastAsia="Arial" w:hAnsi="Arial"/>
          <w:sz w:val="20"/>
          <w:szCs w:val="20"/>
        </w:rPr>
        <w:t xml:space="preserve">Enable Hubble/CNP in Netra only for enrichment — not as PacketWolf’s datapath.</w:t>
      </w:r>
    </w:p>
    <w:p>
      <w:pPr>
        <w:pStyle w:val="ListParagraph"/>
        <w:numPr>
          <w:ilvl w:val="0"/>
          <w:numId w:val="2"/>
        </w:numPr>
        <w:spacing w:after="80"/>
      </w:pPr>
      <w:r>
        <w:rPr>
          <w:rFonts w:ascii="Arial" w:cs="Arial" w:eastAsia="Arial" w:hAnsi="Arial"/>
          <w:sz w:val="20"/>
          <w:szCs w:val="20"/>
        </w:rPr>
        <w:t xml:space="preserve">There is no Netra↔PacketWolf control-plane sync today.</w:t>
      </w:r>
    </w:p>
    <w:p>
      <w:pPr>
        <w:spacing w:after="160" w:before="0"/>
      </w:pPr>
      <w:r>
        <w:rPr>
          <w:rFonts w:ascii="Arial" w:cs="Arial" w:eastAsia="Arial" w:hAnsi="Arial"/>
          <w:color w:val="111111"/>
          <w:sz w:val="20"/>
          <w:szCs w:val="20"/>
        </w:rPr>
        <w:t xml:space="preserve">Pick Netra when you need CNI-independent diagnostics and short-lease emergency deny. Pick PacketWolf when Cilium is already the CNI and you want full platform intelligence / AutoPolicy / healer depth.</w:t>
      </w:r>
    </w:p>
    <w:p>
      <w:r>
        <w:br w:type="page"/>
      </w:r>
    </w:p>
    <w:p>
      <w:pPr>
        <w:pStyle w:val="Heading1"/>
        <w:spacing w:after="200" w:before="120"/>
      </w:pPr>
      <w:r>
        <w:rPr>
          <w:rFonts w:ascii="Arial" w:cs="Arial" w:eastAsia="Arial" w:hAnsi="Arial"/>
          <w:b/>
          <w:bCs/>
          <w:color w:val="111111"/>
          <w:sz w:val="36"/>
          <w:szCs w:val="36"/>
        </w:rPr>
        <w:t xml:space="preserve">Buying checklist</w:t>
      </w:r>
    </w:p>
    <w:p>
      <w:pPr>
        <w:pStyle w:val="ListParagraph"/>
        <w:numPr>
          <w:ilvl w:val="0"/>
          <w:numId w:val="4"/>
        </w:numPr>
        <w:spacing w:after="80"/>
      </w:pPr>
      <w:r>
        <w:rPr>
          <w:rFonts w:ascii="Arial" w:cs="Arial" w:eastAsia="Arial" w:hAnsi="Arial"/>
          <w:sz w:val="20"/>
          <w:szCs w:val="20"/>
        </w:rPr>
        <w:t xml:space="preserve">Confirm Linux nodes meet cgroup v2 / bpffs / BPF baselines (netra-doctor).</w:t>
      </w:r>
    </w:p>
    <w:p>
      <w:pPr>
        <w:pStyle w:val="ListParagraph"/>
        <w:numPr>
          <w:ilvl w:val="0"/>
          <w:numId w:val="4"/>
        </w:numPr>
        <w:spacing w:after="80"/>
      </w:pPr>
      <w:r>
        <w:rPr>
          <w:rFonts w:ascii="Arial" w:cs="Arial" w:eastAsia="Arial" w:hAnsi="Arial"/>
          <w:sz w:val="20"/>
          <w:szCs w:val="20"/>
        </w:rPr>
        <w:t xml:space="preserve">Start observe-only: flows, Path, Drop, Congestion Map — no enforce lease yet.</w:t>
      </w:r>
    </w:p>
    <w:p>
      <w:pPr>
        <w:pStyle w:val="ListParagraph"/>
        <w:numPr>
          <w:ilvl w:val="0"/>
          <w:numId w:val="4"/>
        </w:numPr>
        <w:spacing w:after="80"/>
      </w:pPr>
      <w:r>
        <w:rPr>
          <w:rFonts w:ascii="Arial" w:cs="Arial" w:eastAsia="Arial" w:hAnsi="Arial"/>
          <w:sz w:val="20"/>
          <w:szCs w:val="20"/>
        </w:rPr>
        <w:t xml:space="preserve">Exercise capture (and optionally auto-capture) on a non-production signal.</w:t>
      </w:r>
    </w:p>
    <w:p>
      <w:pPr>
        <w:pStyle w:val="ListParagraph"/>
        <w:numPr>
          <w:ilvl w:val="0"/>
          <w:numId w:val="4"/>
        </w:numPr>
        <w:spacing w:after="80"/>
      </w:pPr>
      <w:r>
        <w:rPr>
          <w:rFonts w:ascii="Arial" w:cs="Arial" w:eastAsia="Arial" w:hAnsi="Arial"/>
          <w:sz w:val="20"/>
          <w:szCs w:val="20"/>
        </w:rPr>
        <w:t xml:space="preserve">Pilot a leased deny with blast-radius preview and confirm auto-revert.</w:t>
      </w:r>
    </w:p>
    <w:p>
      <w:pPr>
        <w:pStyle w:val="ListParagraph"/>
        <w:numPr>
          <w:ilvl w:val="0"/>
          <w:numId w:val="4"/>
        </w:numPr>
        <w:spacing w:after="80"/>
      </w:pPr>
      <w:r>
        <w:rPr>
          <w:rFonts w:ascii="Arial" w:cs="Arial" w:eastAsia="Arial" w:hAnsi="Arial"/>
          <w:sz w:val="20"/>
          <w:szCs w:val="20"/>
        </w:rPr>
        <w:t xml:space="preserve">Wire alerting / SIEM / ChatOps as needed; keep AI/MCP read-only until trusted.</w:t>
      </w:r>
    </w:p>
    <w:p>
      <w:pPr>
        <w:pStyle w:val="ListParagraph"/>
        <w:numPr>
          <w:ilvl w:val="0"/>
          <w:numId w:val="4"/>
        </w:numPr>
        <w:spacing w:after="200"/>
      </w:pPr>
      <w:r>
        <w:rPr>
          <w:rFonts w:ascii="Arial" w:cs="Arial" w:eastAsia="Arial" w:hAnsi="Arial"/>
          <w:sz w:val="20"/>
          <w:szCs w:val="20"/>
        </w:rPr>
        <w:t xml:space="preserve">If Cilium is present, decide enrichment vs PacketWolf platform ownership explicitly.</w:t>
      </w:r>
    </w:p>
    <w:p>
      <w:pPr>
        <w:spacing w:after="200" w:before="0"/>
      </w:pPr>
      <w:r>
        <w:rPr>
          <w:rFonts w:ascii="Arial" w:cs="Arial" w:eastAsia="Arial" w:hAnsi="Arial"/>
          <w:b/>
          <w:bCs/>
          <w:color w:val="111111"/>
          <w:sz w:val="32"/>
          <w:szCs w:val="32"/>
        </w:rPr>
        <w:t xml:space="preserve">See the network. Contain the incident.
</w:t>
      </w:r>
      <w:r>
        <w:rPr>
          <w:rFonts w:ascii="Arial" w:cs="Arial" w:eastAsia="Arial" w:hAnsi="Arial"/>
          <w:b/>
          <w:bCs/>
          <w:color w:val="F15A29"/>
          <w:sz w:val="32"/>
          <w:szCs w:val="32"/>
        </w:rPr>
        <w:t xml:space="preserve">Fail open by default.</w:t>
      </w:r>
    </w:p>
    <w:p>
      <w:pPr>
        <w:spacing w:after="160" w:before="0"/>
      </w:pPr>
      <w:r>
        <w:rPr>
          <w:rFonts w:ascii="Arial" w:cs="Arial" w:eastAsia="Arial" w:hAnsi="Arial"/>
          <w:b/>
          <w:bCs/>
          <w:color w:val="F15A29"/>
          <w:sz w:val="24"/>
          <w:szCs w:val="24"/>
        </w:rPr>
        <w:t xml:space="preserve">Talk to sales  →  zyvor.dev/netra</w:t>
      </w:r>
    </w:p>
    <w:p>
      <w:pPr>
        <w:spacing w:after="40" w:before="0"/>
      </w:pPr>
      <w:r>
        <w:rPr>
          <w:rFonts w:ascii="Arial" w:cs="Arial" w:eastAsia="Arial" w:hAnsi="Arial"/>
          <w:color w:val="666666"/>
          <w:sz w:val="16"/>
          <w:szCs w:val="16"/>
        </w:rPr>
        <w:t xml:space="preserve">© 2026 Zyvor  ·  Apache-2.0 core  ·  Standalone eBPF network observability and emergency network control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11111" w:sz="12" w:space="8"/>
      </w:pBdr>
      <w:spacing w:before="120"/>
    </w:pPr>
    <w:r>
      <w:rPr>
        <w:rFonts w:ascii="Courier New" w:cs="Courier New" w:eastAsia="Courier New" w:hAnsi="Courier New"/>
        <w:color w:val="111111"/>
        <w:sz w:val="16"/>
        <w:szCs w:val="16"/>
      </w:rPr>
      <w:t xml:space="preserve">zyvor.dev</w:t>
    </w:r>
    <w:r>
      <w:rPr>
        <w:rFonts w:ascii="Courier New" w:cs="Courier New" w:eastAsia="Courier New" w:hAnsi="Courier New"/>
        <w:color w:val="666666"/>
        <w:sz w:val="16"/>
        <w:szCs w:val="16"/>
      </w:rPr>
      <w:t xml:space="preserve">          Netra product brochure          </w:t>
    </w:r>
    <w:r>
      <w:rPr>
        <w:rFonts w:ascii="Courier New" w:cs="Courier New" w:eastAsia="Courier New" w:hAnsi="Courier New"/>
        <w:color w:val="666666"/>
        <w:sz w:val="16"/>
        <w:szCs w:val="16"/>
      </w:rPr>
      <w:t xml:space="preserve">Page </w:t>
    </w:r>
    <w:r>
      <w:rPr>
        <w:rFonts w:ascii="Courier New" w:cs="Courier New" w:eastAsia="Courier New" w:hAnsi="Courier New"/>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F15A29"/>
        <w:sz w:val="18"/>
        <w:szCs w:val="18"/>
      </w:rPr>
      <w:t xml:space="preserve">Z  ZYVOR</w:t>
    </w:r>
    <w:r>
      <w:rPr>
        <w:rFonts w:ascii="Arial" w:cs="Arial" w:eastAsia="Arial" w:hAnsi="Arial"/>
        <w:color w:val="666666"/>
        <w:sz w:val="16"/>
        <w:szCs w:val="16"/>
      </w:rPr>
      <w:t xml:space="preserve">     ·     NETRA PRODUCT BROCHURE</w:t>
    </w:r>
  </w:p>
  <w:p>
    <w:pPr>
      <w:pBdr>
        <w:bottom w:val="single" w:color="111111" w:sz="12" w:space="1"/>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F15A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f7281d2c2a3374d5e907c77906136664ce80d0.png"/><Relationship Id="rId10" Type="http://schemas.openxmlformats.org/officeDocument/2006/relationships/image" Target="media/ba2082bdf3e96b0dac80243fa2610372422dcdae.jpg"/><Relationship Id="rId11" Type="http://schemas.openxmlformats.org/officeDocument/2006/relationships/image" Target="media/ccff73fbfa564fe85c0d048df4f69f0efc4fdb0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2026-09-17T13:38:42.687Z</dcterms:created>
  <dcterms:modified xsi:type="dcterms:W3CDTF">2026-09-17T13:38:42.688Z</dcterms:modified>
</cp:coreProperties>
</file>

<file path=docProps/custom.xml><?xml version="1.0" encoding="utf-8"?>
<Properties xmlns="http://schemas.openxmlformats.org/officeDocument/2006/custom-properties" xmlns:vt="http://schemas.openxmlformats.org/officeDocument/2006/docPropsVTypes"/>
</file>