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Especificación de Requisitos, Casos de Uso y Casos de Prueba</w:t>
      </w:r>
    </w:p>
    <w:p>
      <w:pPr>
        <w:spacing w:after="40"/>
      </w:pPr>
      <w:r>
        <w:rPr>
          <w:rFonts w:ascii="Calibri" w:cs="Calibri" w:eastAsia="Calibri" w:hAnsi="Calibri"/>
          <w:color w:val="2E86AB"/>
          <w:sz w:val="23"/>
          <w:szCs w:val="23"/>
        </w:rPr>
        <w:t xml:space="preserve">EnZona — Plataforma multiplataforma (web y móvil) de eventos locales</w:t>
      </w:r>
    </w:p>
    <w:p>
      <w:pPr>
        <w:pBdr>
          <w:bottom w:val="single" w:color="1F3A5F" w:sz="12" w:space="8"/>
        </w:pBdr>
        <w:spacing w:after="240"/>
      </w:pPr>
      <w:r>
        <w:rPr>
          <w:rFonts w:ascii="Calibri" w:cs="Calibri" w:eastAsia="Calibri" w:hAnsi="Calibri"/>
          <w:color w:val="5D6D7E"/>
          <w:sz w:val="19"/>
          <w:szCs w:val="19"/>
        </w:rPr>
        <w:t xml:space="preserve">Taller de Pruebas de Software · Universidad Veracruzana</w:t>
      </w:r>
    </w:p>
    <w:p>
      <w:pPr>
        <w:pBdr>
          <w:bottom w:val="single" w:color="D5DBDB" w:sz="6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 Introducción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Propósito y alcance</w:t>
      </w:r>
    </w:p>
    <w:p>
      <w:pPr>
        <w:spacing w:after="120" w:line="288"/>
      </w:pPr>
      <w:r>
        <w:rPr>
          <w:rFonts w:ascii="Calibri" w:cs="Calibri" w:eastAsia="Calibri" w:hAnsi="Calibri"/>
          <w:i w:val="false"/>
          <w:iCs w:val="false"/>
          <w:color w:val="212529"/>
          <w:sz w:val="22"/>
          <w:szCs w:val="22"/>
        </w:rPr>
        <w:t xml:space="preserve">Este documento especifica los requisitos del sistema EnZona, describe sus casos de uso y define los casos de prueba que verifican su cumplimiento. EnZona es una plataforma multiplataforma: una aplicación web responsiva (React y Vite) y una aplicación móvil nativa para Android (Kotlin y Jetpack Compose), que comparten el mismo servicio y base de datos. El sistema muestra los eventos según la ubicación del usuario; para este proyecto, el área de estudio se delimita a la ciudad de Orizaba, Veracruz.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Definiciones y acrónimos</w:t>
      </w:r>
    </w:p>
    <w:p>
      <w:pPr>
        <w:spacing w:after="60" w:line="282"/>
        <w:ind w:left="360" w:hanging="20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•  RF: requisito funcional. RNF: requisito no funcional. CU: caso de uso. CP: caso de prueba.</w:t>
      </w:r>
    </w:p>
    <w:p>
      <w:pPr>
        <w:spacing w:after="60" w:line="282"/>
        <w:ind w:left="360" w:hanging="20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•  QR: código de acceso del boleto. OTP: código de un solo uso. JWT: token de sesión. HMAC: firma del boleto.</w:t>
      </w:r>
    </w:p>
    <w:p>
      <w:pPr>
        <w:spacing w:after="60" w:line="282"/>
        <w:ind w:left="360" w:hanging="20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•  Geolocalización: uso de la ubicación del dispositivo para mostrar eventos cercanos.</w:t>
      </w:r>
    </w:p>
    <w:p>
      <w:pPr>
        <w:pBdr>
          <w:bottom w:val="single" w:color="D5DBDB" w:sz="6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2. Requisitos funcionales</w:t>
      </w:r>
    </w:p>
    <w:p>
      <w:pPr>
        <w:spacing w:after="120" w:line="288"/>
      </w:pPr>
      <w:r>
        <w:rPr>
          <w:rFonts w:ascii="Calibri" w:cs="Calibri" w:eastAsia="Calibri" w:hAnsi="Calibri"/>
          <w:i w:val="false"/>
          <w:iCs w:val="false"/>
          <w:color w:val="212529"/>
          <w:sz w:val="22"/>
          <w:szCs w:val="22"/>
        </w:rPr>
        <w:t xml:space="preserve">Se enumeran los requisitos funcionales con su prioridad. El requisito de descubrimiento por ubicación (RF-19) se resalta por ser nuevo.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5060"/>
        <w:gridCol w:w="1000"/>
      </w:tblGrid>
      <w:tr>
        <w:trPr>
          <w:tblHeader/>
        </w:trPr>
        <w:tc>
          <w:tcPr>
            <w:tcW w:type="dxa" w:w="1000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5060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000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RF-01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Registro de usuario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Registrar un usuario con nombre, correo, contraseña y CURP como dato de verificación de identidad.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RF-02</w:t>
            </w:r>
          </w:p>
        </w:tc>
        <w:tc>
          <w:tcPr>
            <w:tcW w:type="dxa" w:w="23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Verificación de cuenta</w:t>
            </w:r>
          </w:p>
        </w:tc>
        <w:tc>
          <w:tcPr>
            <w:tcW w:type="dxa" w:w="50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Verificar el correo y el teléfono mediante un código de un solo uso (OTP) antes de activar la cuenta.</w:t>
            </w:r>
          </w:p>
        </w:tc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RF-03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Inicio de sesión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Iniciar sesión con correo o CURP y contraseña, emitiendo un token de sesión.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RF-04</w:t>
            </w:r>
          </w:p>
        </w:tc>
        <w:tc>
          <w:tcPr>
            <w:tcW w:type="dxa" w:w="23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Gestión de perfil</w:t>
            </w:r>
          </w:p>
        </w:tc>
        <w:tc>
          <w:tcPr>
            <w:tcW w:type="dxa" w:w="50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Consultar y actualizar los datos del perfil.</w:t>
            </w:r>
          </w:p>
        </w:tc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RF-05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Listado de eventos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Mostrar los eventos publicados y disponibles en la web y en la aplicación móvil.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RF-06</w:t>
            </w:r>
          </w:p>
        </w:tc>
        <w:tc>
          <w:tcPr>
            <w:tcW w:type="dxa" w:w="23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Búsqueda de eventos</w:t>
            </w:r>
          </w:p>
        </w:tc>
        <w:tc>
          <w:tcPr>
            <w:tcW w:type="dxa" w:w="50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Buscar eventos por texto.</w:t>
            </w:r>
          </w:p>
        </w:tc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RF-07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Filtrado de eventos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Filtrar eventos por lugar, fecha y tipo.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RF-08</w:t>
            </w:r>
          </w:p>
        </w:tc>
        <w:tc>
          <w:tcPr>
            <w:tcW w:type="dxa" w:w="23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Creación y publicación de evento</w:t>
            </w:r>
          </w:p>
        </w:tc>
        <w:tc>
          <w:tcPr>
            <w:tcW w:type="dxa" w:w="50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El organizador crea y publica un evento (gratuito o de pago) con nombre, lugar, tipo, fecha y hora.</w:t>
            </w:r>
          </w:p>
        </w:tc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RF-09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Selección de asiento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Seleccionar asiento o lugar cuando el tipo de evento lo requiera.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RF-10</w:t>
            </w:r>
          </w:p>
        </w:tc>
        <w:tc>
          <w:tcPr>
            <w:tcW w:type="dxa" w:w="23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Confirmación de asistencia</w:t>
            </w:r>
          </w:p>
        </w:tc>
        <w:tc>
          <w:tcPr>
            <w:tcW w:type="dxa" w:w="50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Registrar la confirmación de asistencia y el conteo del aforo en eventos gratuitos.</w:t>
            </w:r>
          </w:p>
        </w:tc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RF-11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Compra de boletos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Gestionar la compra mediante una pasarela de pago externa.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RF-12</w:t>
            </w:r>
          </w:p>
        </w:tc>
        <w:tc>
          <w:tcPr>
            <w:tcW w:type="dxa" w:w="23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Emisión de boleto</w:t>
            </w:r>
          </w:p>
        </w:tc>
        <w:tc>
          <w:tcPr>
            <w:tcW w:type="dxa" w:w="50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Emitir un boleto electrónico firmado y de un solo uso, y enviarlo por correo.</w:t>
            </w:r>
          </w:p>
        </w:tc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RF-13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Modificación de evento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Modificar un evento bajo políticas (p. ej., no reducir el aforo por debajo de lo vendido).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RF-14</w:t>
            </w:r>
          </w:p>
        </w:tc>
        <w:tc>
          <w:tcPr>
            <w:tcW w:type="dxa" w:w="23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Cancelación de evento</w:t>
            </w:r>
          </w:p>
        </w:tc>
        <w:tc>
          <w:tcPr>
            <w:tcW w:type="dxa" w:w="50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Cancelar un evento y notificar a los asistentes.</w:t>
            </w:r>
          </w:p>
        </w:tc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RF-15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Validación de acceso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Validar el boleto por código QR en el acceso, con un solo uso y modo sin conexión.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RF-16</w:t>
            </w:r>
          </w:p>
        </w:tc>
        <w:tc>
          <w:tcPr>
            <w:tcW w:type="dxa" w:w="23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Control de aforo</w:t>
            </w:r>
          </w:p>
        </w:tc>
        <w:tc>
          <w:tcPr>
            <w:tcW w:type="dxa" w:w="50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Impedir vender o confirmar más asistentes que el aforo disponible.</w:t>
            </w:r>
          </w:p>
        </w:tc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RF-17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Panel del organizador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Mostrar al organizador el conteo de asistentes, ventas y accesos validados.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RF-18</w:t>
            </w:r>
          </w:p>
        </w:tc>
        <w:tc>
          <w:tcPr>
            <w:tcW w:type="dxa" w:w="23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Administración</w:t>
            </w:r>
          </w:p>
        </w:tc>
        <w:tc>
          <w:tcPr>
            <w:tcW w:type="dxa" w:w="50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Permitir al administrador gestionar usuarios y eventos.</w:t>
            </w:r>
          </w:p>
        </w:tc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100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RF-19</w:t>
            </w:r>
          </w:p>
        </w:tc>
        <w:tc>
          <w:tcPr>
            <w:tcW w:type="dxa" w:w="230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Descubrimiento por ubicación</w:t>
            </w:r>
          </w:p>
        </w:tc>
        <w:tc>
          <w:tcPr>
            <w:tcW w:type="dxa" w:w="506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Mostrar los eventos cercanos según la ubicación del usuario (geolocalización), dentro del área de estudio (Orizaba).</w:t>
            </w:r>
          </w:p>
        </w:tc>
        <w:tc>
          <w:tcPr>
            <w:tcW w:type="dxa" w:w="100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</w:tbl>
    <w:p>
      <w:pPr>
        <w:pBdr>
          <w:bottom w:val="single" w:color="D5DBDB" w:sz="6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 Requisitos no funcionales</w:t>
      </w:r>
    </w:p>
    <w:p>
      <w:pPr>
        <w:spacing w:after="120" w:line="288"/>
      </w:pPr>
      <w:r>
        <w:rPr>
          <w:rFonts w:ascii="Calibri" w:cs="Calibri" w:eastAsia="Calibri" w:hAnsi="Calibri"/>
          <w:i w:val="false"/>
          <w:iCs w:val="false"/>
          <w:color w:val="212529"/>
          <w:sz w:val="22"/>
          <w:szCs w:val="22"/>
        </w:rPr>
        <w:t xml:space="preserve">Cualidades del sistema. Se resaltan los requisitos añadidos o modificados por el carácter multiplataforma y la geolocalización.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5460"/>
        <w:gridCol w:w="1000"/>
      </w:tblGrid>
      <w:tr>
        <w:trPr>
          <w:tblHeader/>
        </w:trPr>
        <w:tc>
          <w:tcPr>
            <w:tcW w:type="dxa" w:w="1000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5460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000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RNF-01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Seguridad</w:t>
            </w:r>
          </w:p>
        </w:tc>
        <w:tc>
          <w:tcPr>
            <w:tcW w:type="dxa" w:w="54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Contraseñas cifradas y sesiones con tokens firmados (JWT).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RNF-02</w:t>
            </w:r>
          </w:p>
        </w:tc>
        <w:tc>
          <w:tcPr>
            <w:tcW w:type="dxa" w:w="19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Seguridad</w:t>
            </w:r>
          </w:p>
        </w:tc>
        <w:tc>
          <w:tcPr>
            <w:tcW w:type="dxa" w:w="54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Boletos firmados (HMAC) de uso único, verificado con una actualización atómica de su estado.</w:t>
            </w:r>
          </w:p>
        </w:tc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RNF-03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Protección de datos</w:t>
            </w:r>
          </w:p>
        </w:tc>
        <w:tc>
          <w:tcPr>
            <w:tcW w:type="dxa" w:w="54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El tratamiento de datos personales (CURP, correo, ubicación) cumple la LFPDPPP; el CURP se almacena cifrado.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RNF-04</w:t>
            </w:r>
          </w:p>
        </w:tc>
        <w:tc>
          <w:tcPr>
            <w:tcW w:type="dxa" w:w="19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54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Responder a las operaciones principales en menos de 2 segundos bajo carga normal.</w:t>
            </w:r>
          </w:p>
        </w:tc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RNF-05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Concurrencia</w:t>
            </w:r>
          </w:p>
        </w:tc>
        <w:tc>
          <w:tcPr>
            <w:tcW w:type="dxa" w:w="54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Soportar compras concurrentes garantizando la integridad del aforo, sin sobreventa.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RNF-06</w:t>
            </w:r>
          </w:p>
        </w:tc>
        <w:tc>
          <w:tcPr>
            <w:tcW w:type="dxa" w:w="190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Usabilidad</w:t>
            </w:r>
          </w:p>
        </w:tc>
        <w:tc>
          <w:tcPr>
            <w:tcW w:type="dxa" w:w="546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Ofrecer una interfaz web responsiva y una aplicación móvil nativa para Android, utilizables en móvil y escritorio.</w:t>
            </w:r>
          </w:p>
        </w:tc>
        <w:tc>
          <w:tcPr>
            <w:tcW w:type="dxa" w:w="100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RNF-07</w:t>
            </w:r>
          </w:p>
        </w:tc>
        <w:tc>
          <w:tcPr>
            <w:tcW w:type="dxa" w:w="190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546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Funcionar en navegadores modernos (Chrome, Edge, Firefox) y en Android 8.0 o superior.</w:t>
            </w:r>
          </w:p>
        </w:tc>
        <w:tc>
          <w:tcPr>
            <w:tcW w:type="dxa" w:w="100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RNF-08</w:t>
            </w:r>
          </w:p>
        </w:tc>
        <w:tc>
          <w:tcPr>
            <w:tcW w:type="dxa" w:w="19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54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La validación de acceso opera sin conexión y sincroniza al restablecerse la red.</w:t>
            </w:r>
          </w:p>
        </w:tc>
        <w:tc>
          <w:tcPr>
            <w:tcW w:type="dxa" w:w="10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RNF-09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Transparencia de precios</w:t>
            </w:r>
          </w:p>
        </w:tc>
        <w:tc>
          <w:tcPr>
            <w:tcW w:type="dxa" w:w="54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Mostrar el precio total sin cargos ocultos y sin tarifas dinámicas (Profeco).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RNF-10</w:t>
            </w:r>
          </w:p>
        </w:tc>
        <w:tc>
          <w:tcPr>
            <w:tcW w:type="dxa" w:w="190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Multiplataforma</w:t>
            </w:r>
          </w:p>
        </w:tc>
        <w:tc>
          <w:tcPr>
            <w:tcW w:type="dxa" w:w="546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Las versiones web y móvil comparten el mismo servicio (API REST) y la misma base de datos.</w:t>
            </w:r>
          </w:p>
        </w:tc>
        <w:tc>
          <w:tcPr>
            <w:tcW w:type="dxa" w:w="100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RNF-11</w:t>
            </w:r>
          </w:p>
        </w:tc>
        <w:tc>
          <w:tcPr>
            <w:tcW w:type="dxa" w:w="190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Privacidad de ubicación</w:t>
            </w:r>
          </w:p>
        </w:tc>
        <w:tc>
          <w:tcPr>
            <w:tcW w:type="dxa" w:w="546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El uso de la ubicación requiere consentimiento; si no se concede, se permite elegir la ciudad manualmente.</w:t>
            </w:r>
          </w:p>
        </w:tc>
        <w:tc>
          <w:tcPr>
            <w:tcW w:type="dxa" w:w="100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</w:tbl>
    <w:p>
      <w:pPr>
        <w:pBdr>
          <w:bottom w:val="single" w:color="D5DBDB" w:sz="6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 Casos de uso</w:t>
      </w:r>
    </w:p>
    <w:p>
      <w:pPr>
        <w:spacing w:after="120" w:line="288"/>
      </w:pPr>
      <w:r>
        <w:rPr>
          <w:rFonts w:ascii="Calibri" w:cs="Calibri" w:eastAsia="Calibri" w:hAnsi="Calibri"/>
          <w:i w:val="false"/>
          <w:iCs w:val="false"/>
          <w:color w:val="212529"/>
          <w:sz w:val="22"/>
          <w:szCs w:val="22"/>
        </w:rPr>
        <w:t xml:space="preserve">Los casos de uso describen las funciones del sistema desde la perspectiva de cada actor. El diagrama de la sección 5 los representa gráficamente.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800"/>
        <w:gridCol w:w="456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560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CU-01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Registrarse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Asistente / Organizador</w:t>
            </w:r>
          </w:p>
        </w:tc>
        <w:tc>
          <w:tcPr>
            <w:tcW w:type="dxa" w:w="4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Captura sus datos y su CURP, recibe y confirma el código OTP y activa su cuenta.</w:t>
            </w:r>
          </w:p>
        </w:tc>
      </w:tr>
      <w:tr>
        <w:tc>
          <w:tcPr>
            <w:tcW w:type="dxa" w:w="90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CU-02</w:t>
            </w:r>
          </w:p>
        </w:tc>
        <w:tc>
          <w:tcPr>
            <w:tcW w:type="dxa" w:w="210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Descubrir eventos cercanos</w:t>
            </w:r>
          </w:p>
        </w:tc>
        <w:tc>
          <w:tcPr>
            <w:tcW w:type="dxa" w:w="180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Asistente</w:t>
            </w:r>
          </w:p>
        </w:tc>
        <w:tc>
          <w:tcPr>
            <w:tcW w:type="dxa" w:w="456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La aplicación obtiene su ubicación y lista los eventos cercanos (área de Orizaba); puede filtrar por fecha y tipo.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CU-03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Comprar boleto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Asistente</w:t>
            </w:r>
          </w:p>
        </w:tc>
        <w:tc>
          <w:tcPr>
            <w:tcW w:type="dxa" w:w="4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Selecciona el evento y el tipo de boleto, paga con la pasarela y recibe un boleto con código QR.</w:t>
            </w:r>
          </w:p>
        </w:tc>
      </w:tr>
      <w:tr>
        <w:tc>
          <w:tcPr>
            <w:tcW w:type="dxa" w:w="9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CU-04</w:t>
            </w:r>
          </w:p>
        </w:tc>
        <w:tc>
          <w:tcPr>
            <w:tcW w:type="dxa" w:w="21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Confirmar asistencia</w:t>
            </w:r>
          </w:p>
        </w:tc>
        <w:tc>
          <w:tcPr>
            <w:tcW w:type="dxa" w:w="18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Asistente</w:t>
            </w:r>
          </w:p>
        </w:tc>
        <w:tc>
          <w:tcPr>
            <w:tcW w:type="dxa" w:w="45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En un evento gratuito confirma su asistencia y recibe su boleto QR; el sistema incrementa el aforo.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CU-05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Publicar evento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Organizador</w:t>
            </w:r>
          </w:p>
        </w:tc>
        <w:tc>
          <w:tcPr>
            <w:tcW w:type="dxa" w:w="4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Crea el evento (gratuito o de pago), define tipos de boleto y aforo, y lo publica.</w:t>
            </w:r>
          </w:p>
        </w:tc>
      </w:tr>
      <w:tr>
        <w:tc>
          <w:tcPr>
            <w:tcW w:type="dxa" w:w="9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CU-06</w:t>
            </w:r>
          </w:p>
        </w:tc>
        <w:tc>
          <w:tcPr>
            <w:tcW w:type="dxa" w:w="21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Validar acceso</w:t>
            </w:r>
          </w:p>
        </w:tc>
        <w:tc>
          <w:tcPr>
            <w:tcW w:type="dxa" w:w="18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Validador</w:t>
            </w:r>
          </w:p>
        </w:tc>
        <w:tc>
          <w:tcPr>
            <w:tcW w:type="dxa" w:w="45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Escanea el código QR en la puerta; el sistema permite o rechaza el acceso y marca el boleto como usado.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CU-07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Gestionar la plataforma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4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Gestiona usuarios y eventos y supervisa el funcionamiento general.</w:t>
            </w:r>
          </w:p>
        </w:tc>
      </w:tr>
    </w:tbl>
    <w:p>
      <w:pPr>
        <w:pBdr>
          <w:bottom w:val="single" w:color="D5DBDB" w:sz="6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 Diagramas</w:t>
      </w:r>
    </w:p>
    <w:p>
      <w:pPr>
        <w:spacing w:after="120" w:line="288"/>
      </w:pPr>
      <w:r>
        <w:rPr>
          <w:rFonts w:ascii="Calibri" w:cs="Calibri" w:eastAsia="Calibri" w:hAnsi="Calibri"/>
          <w:i w:val="false"/>
          <w:iCs w:val="false"/>
          <w:color w:val="212529"/>
          <w:sz w:val="22"/>
          <w:szCs w:val="22"/>
        </w:rPr>
        <w:t xml:space="preserve">Los diagramas describen los actores y funciones del sistema (casos de uso) y su comportamiento dinámico (actividad y estados).</w:t>
      </w:r>
    </w:p>
    <w:p>
      <w:pPr>
        <w:spacing w:before="120"/>
        <w:jc w:val="center"/>
      </w:pPr>
      <w:r>
        <w:drawing>
          <wp:inline distT="0" distB="0" distL="0" distR="0">
            <wp:extent cx="3629025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D6D7E"/>
          <w:sz w:val="19"/>
          <w:szCs w:val="19"/>
        </w:rPr>
        <w:t xml:space="preserve">Figura 1. Diagrama de casos de uso (actores representados con el ícono de actor).</w:t>
      </w:r>
    </w:p>
    <w:p>
      <w:pPr>
        <w:spacing w:before="120"/>
        <w:jc w:val="center"/>
      </w:pPr>
      <w:r>
        <w:drawing>
          <wp:inline distT="0" distB="0" distL="0" distR="0">
            <wp:extent cx="47244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D6D7E"/>
          <w:sz w:val="19"/>
          <w:szCs w:val="19"/>
        </w:rPr>
        <w:t xml:space="preserve">Figura 2. Diagrama de actividad: descubrimiento de eventos por ubicación.</w:t>
      </w:r>
    </w:p>
    <w:p>
      <w:pPr>
        <w:spacing w:before="120"/>
        <w:jc w:val="center"/>
      </w:pPr>
      <w:r>
        <w:drawing>
          <wp:inline distT="0" distB="0" distL="0" distR="0">
            <wp:extent cx="2438400" cy="819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D6D7E"/>
          <w:sz w:val="19"/>
          <w:szCs w:val="19"/>
        </w:rPr>
        <w:t xml:space="preserve">Figura 3. Diagrama de actividad: compra de boleto y validación de acceso.</w:t>
      </w:r>
    </w:p>
    <w:p>
      <w:pPr>
        <w:spacing w:before="120"/>
        <w:jc w:val="center"/>
      </w:pPr>
      <w:r>
        <w:drawing>
          <wp:inline distT="0" distB="0" distL="0" distR="0">
            <wp:extent cx="57150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D6D7E"/>
          <w:sz w:val="19"/>
          <w:szCs w:val="19"/>
        </w:rPr>
        <w:t xml:space="preserve">Figura 4. Diagrama de estados del boleto.</w:t>
      </w:r>
    </w:p>
    <w:p>
      <w:pPr>
        <w:pBdr>
          <w:bottom w:val="single" w:color="D5DBDB" w:sz="6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 Estrategia de pruebas</w:t>
      </w:r>
    </w:p>
    <w:p>
      <w:pPr>
        <w:spacing w:after="120" w:line="288"/>
      </w:pPr>
      <w:r>
        <w:rPr>
          <w:rFonts w:ascii="Calibri" w:cs="Calibri" w:eastAsia="Calibri" w:hAnsi="Calibri"/>
          <w:i w:val="false"/>
          <w:iCs w:val="false"/>
          <w:color w:val="212529"/>
          <w:sz w:val="22"/>
          <w:szCs w:val="22"/>
        </w:rPr>
        <w:t xml:space="preserve">Las pruebas se organizan por niveles y se diseñan con técnicas de caja negra.</w:t>
      </w:r>
    </w:p>
    <w:p>
      <w:pPr>
        <w:spacing w:after="60" w:line="282"/>
        <w:ind w:left="360" w:hanging="20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•  Unitarias: componentes de la lógica de negocio.</w:t>
      </w:r>
    </w:p>
    <w:p>
      <w:pPr>
        <w:spacing w:after="60" w:line="282"/>
        <w:ind w:left="360" w:hanging="20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•  De integración: servicio con base de datos, con la pasarela de pago y entre los clientes (web y móvil) y la API.</w:t>
      </w:r>
    </w:p>
    <w:p>
      <w:pPr>
        <w:spacing w:after="60" w:line="282"/>
        <w:ind w:left="360" w:hanging="20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•  De aceptación: con usuarios reales de la ciudad de Orizaba, en la web y en la aplicación Android.</w:t>
      </w:r>
    </w:p>
    <w:p>
      <w:pPr>
        <w:spacing w:after="60" w:line="282"/>
        <w:ind w:left="360" w:hanging="20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•  Técnicas: partición de equivalencia, valores límite, escenarios positivos y negativos, y casos de concurrencia.</w:t>
      </w:r>
    </w:p>
    <w:p>
      <w:pPr>
        <w:pBdr>
          <w:bottom w:val="single" w:color="D5DBDB" w:sz="6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 Casos de prueba</w:t>
      </w:r>
    </w:p>
    <w:p>
      <w:pPr>
        <w:spacing w:after="120" w:line="288"/>
      </w:pPr>
      <w:r>
        <w:rPr>
          <w:rFonts w:ascii="Calibri" w:cs="Calibri" w:eastAsia="Calibri" w:hAnsi="Calibri"/>
          <w:i w:val="false"/>
          <w:iCs w:val="false"/>
          <w:color w:val="212529"/>
          <w:sz w:val="22"/>
          <w:szCs w:val="22"/>
        </w:rPr>
        <w:t xml:space="preserve">Cada caso de prueba se describe con su identificador, los requisitos que verifica, su objetivo, precondiciones, datos, pasos y resultado esperado. Los casos CP-17 a CP-20 son nuevos y cubren la ubicación y el carácter multiplataforma.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CP-01  —  Registro exitoso de usuario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CP-01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RF-01, RF-02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que un usuario con datos válidos se registra y activa su cuenta.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correo y el CURP no están registrados.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Nombre válido, correo nuevo, CURP con formato válido, contraseña que cumple la política.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Capturar los datos de registro.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Enviar el formulario.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3. Ingresar el código OTP recibido.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4. Confirmar la verificación.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La cuenta se crea y queda activada; el usuario puede iniciar sesión.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(positiva)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CP-02  —  Registro con CURP duplicado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CP-02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RF-01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que el sistema rechaza un CURP ya registrado.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Existe una cuenta con el CURP a probar.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CURP ya registrado.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Capturar datos con un CURP existente.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Enviar el formulario.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sistema rechaza el registro e informa que el CURP ya está registrado.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(negativa)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CP-03  —  CURP con formato inválido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CP-03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RF-01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la validación del formato del CURP.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Ninguna.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CURP con longitud o estructura incorrecta.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Capturar un CURP inválido.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Intentar enviar el formulario.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sistema señala el error de formato y no permite continuar.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(negativa)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CP-04  —  Verificación con OTP incorrecto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CP-04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RF-02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el rechazo de un OTP inválido.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usuario recibió un OTP.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Código OTP incorrecto.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Ingresar un OTP incorrecto.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Confirmar.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La cuenta no se activa; se solicita reintentar.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(negativa) · Media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CP-05  —  Inicio de sesión exitoso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CP-05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RF-03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el acceso con credenciales válidas.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Existe una cuenta activada.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Correo y contraseña correctos.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Capturar credenciales.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Iniciar sesión.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sistema concede el acceso y emite un token de sesión.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(positiva)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CP-06  —  Inicio de sesión con contraseña incorrecta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CP-06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RF-03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el rechazo con credenciales inválidas.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Existe una cuenta activada.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Correo válido y contraseña incorrecta.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Capturar la contraseña incorrecta.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Intentar iniciar sesión.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sistema niega el acceso y no emite token.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(negativa)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CP-07  —  Filtrado de eventos por lugar y fecha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CP-07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RF-07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que el filtrado devuelve solo los eventos coincidentes.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Existen eventos con distintos lugares y fechas.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Lugar y rango de fechas específicos.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Aplicar los filtros.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Observar el listado.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Se muestran únicamente los eventos que cumplen ambos criterios.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(positiva)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CP-08  —  Publicación de evento gratuito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CP-08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RF-08, RF-10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la creación y publicación de un evento gratuito.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Usuario organizador autenticado.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Datos completos de un evento gratuito.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Crear el evento.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Publicarlo.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3. Confirmar asistencia como asistente.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evento aparece en el listado y permite confirmar asistencia, incrementando el aforo.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(positiva)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CP-09  —  Compra con pago aprobado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CP-09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RF-11, RF-12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la emisión del boleto tras un pago aprobado.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Evento de pago con boletos disponibles.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Método de pago aprobado por la pasarela.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Seleccionar el boleto.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Procesar el pago.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3. Recibir confirmación.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Se emite un boleto firmado con QR y se envía al correo.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(positiva)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CP-10  —  Compra con pago rechazado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CP-10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RF-11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que no se emite boleto cuando el pago falla.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Evento de pago con boletos disponibles.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Método de pago rechazado.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Seleccionar el boleto.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Procesar el pago (rechazado).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sistema informa el error, no emite boleto y no descuenta el aforo.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(negativa)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CP-11  —  Control de aforo con compras concurrentes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CP-11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RF-16, RNF-05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que no ocurra sobreventa del último lugar.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Evento con un único lugar disponible.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Dos usuarios compran ese lugar simultáneamente.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Ambos inician la compra del último lugar a la vez.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Ambos confirman el pago.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Solo uno obtiene el boleto; el otro recibe aviso de aforo agotado.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/ Concurrencia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CP-12  —  Validación de QR válido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CP-12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RF-15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el acceso con un boleto válido.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Existe un boleto en estado Válido.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QR de un boleto válido no usado.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Escanear el QR en el acceso.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sistema permite el acceso y marca el boleto como Usado.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(positiva)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CP-13  —  Segundo escaneo del mismo QR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CP-13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RF-15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que un boleto no se admita dos veces.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boleto ya fue validado (Usado).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mismo QR del CP-12.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Escanear nuevamente el mismo QR.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sistema rechaza el acceso e indica que el boleto ya fue utilizado.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(negativa)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CP-14  —  Validación en modo offline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CP-14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RF-15, RNF-08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la validación sin conexión y su sincronización.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validador tiene la lista de boletos y no hay conexión.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Un boleto válido; luego el mismo tras recuperar la red.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Escanear sin conexión.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Restablecer la red y sincronizar.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3. Reintentar el mismo boleto.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primer escaneo permite el acceso; tras sincronizar, un segundo intento se rechaza.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/ Disponibilidad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CP-15  —  Modificación de evento fuera de política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CP-15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RF-13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el rechazo al reducir el aforo por debajo de lo vendido.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Evento con boletos ya vendidos.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Nuevo aforo menor a lo vendido.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Editar el evento.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Reducir el aforo.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3. Guardar.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sistema rechaza el cambio y explica la política.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(negativa) · Media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CP-16  —  Cancelación de evento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CP-16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RF-14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la cancelación con notificación y reembolso.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Evento publicado con asistentes o boletos vendidos.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Solicitud de cancelación del organizador.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Cancelar el evento.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Confirmar.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Se notifica a los asistentes, los boletos pasan a Cancelado y se inicia el reembolso.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(positiva) · Media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E7A4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CP-17  —  Descubrimiento por ubicación   (nuevo)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CP-17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RF-19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que se listan los eventos cercanos según la ubicación.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usuario concede el permiso de ubicación y se encuentra en Orizaba.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Ubicación dentro de Orizaba; eventos con coordenadas en la ciudad.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Abrir la aplicación y conceder la ubicación.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Observar el listado de eventos.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Se muestran los eventos cercanos, priorizando los más próximos al usuario.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(positiva)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E7A4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CP-18  —  Permiso de ubicación denegado   (nuevo)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CP-18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RF-19, RNF-11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la alternativa cuando no se concede la ubicación.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usuario rechaza el permiso de ubicación.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Ciudad seleccionada manualmente: Orizaba.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Abrir la aplicación y rechazar el permiso.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Seleccionar la ciudad de Orizaba.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sistema permite elegir la ciudad y muestra los eventos de Orizaba, sin bloquear el uso.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(negativa) · Media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E7A4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CP-19  —  Operación en la app móvil Android   (nuevo)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CP-19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RNF-06, RNF-07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que los flujos principales funcionan en la aplicación nativa Android.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Dispositivo con Android 8.0 o superior y la app instalada.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Cuenta válida y un evento disponible.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Iniciar sesión en la app.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Descubrir un evento y comprar/confirmar.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3. Abrir el boleto con su QR.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registro, la compra/confirmación y el boleto QR funcionan correctamente en Android.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/ Compatibilidad · Alta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E7A4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CP-20  —  Paridad entre web y móvil   (nuevo)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CP-20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RNF-10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Verificar que ambas plataformas comparten datos a través del mismo servicio.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Un boleto comprado en la web.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Boleto emitido desde la aplicación web.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Pasos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1. Comprar un boleto en la web.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2. Validarlo con la app del validador.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El boleto de la web es válido y validable desde la app móvil (mismo servicio y base de datos).</w:t>
            </w:r>
          </w:p>
        </w:tc>
      </w:tr>
      <w:tr>
        <w:tc>
          <w:tcPr>
            <w:tcW w:type="dxa" w:w="2200"/>
            <w:shd w:fill="EA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12529"/>
                <w:sz w:val="18"/>
                <w:szCs w:val="18"/>
              </w:rPr>
              <w:t xml:space="preserve">Funcional / Integración · Alta</w:t>
            </w:r>
          </w:p>
        </w:tc>
      </w:tr>
    </w:tbl>
    <w:p>
      <w:pPr>
        <w:spacing w:after="120"/>
      </w:pPr>
    </w:p>
    <w:p>
      <w:pPr>
        <w:pBdr>
          <w:bottom w:val="single" w:color="D5DBDB" w:sz="6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8. Matriz de trazabilidad</w:t>
      </w:r>
    </w:p>
    <w:p>
      <w:pPr>
        <w:spacing w:after="120" w:line="288"/>
      </w:pPr>
      <w:r>
        <w:rPr>
          <w:rFonts w:ascii="Calibri" w:cs="Calibri" w:eastAsia="Calibri" w:hAnsi="Calibri"/>
          <w:i w:val="false"/>
          <w:iCs w:val="false"/>
          <w:color w:val="212529"/>
          <w:sz w:val="22"/>
          <w:szCs w:val="22"/>
        </w:rPr>
        <w:t xml:space="preserve">Relaciona cada requisito con los casos de prueba que lo verifican.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6760"/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Casos de prueba que lo verifican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RF-01</w:t>
            </w:r>
          </w:p>
        </w:tc>
        <w:tc>
          <w:tcPr>
            <w:tcW w:type="dxa" w:w="6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CP-01, CP-02, CP-03</w:t>
            </w:r>
          </w:p>
        </w:tc>
      </w:tr>
      <w:tr>
        <w:tc>
          <w:tcPr>
            <w:tcW w:type="dxa" w:w="26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RF-02</w:t>
            </w:r>
          </w:p>
        </w:tc>
        <w:tc>
          <w:tcPr>
            <w:tcW w:type="dxa" w:w="67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CP-01, CP-04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RF-03</w:t>
            </w:r>
          </w:p>
        </w:tc>
        <w:tc>
          <w:tcPr>
            <w:tcW w:type="dxa" w:w="6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CP-05, CP-06</w:t>
            </w:r>
          </w:p>
        </w:tc>
      </w:tr>
      <w:tr>
        <w:tc>
          <w:tcPr>
            <w:tcW w:type="dxa" w:w="26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RF-07</w:t>
            </w:r>
          </w:p>
        </w:tc>
        <w:tc>
          <w:tcPr>
            <w:tcW w:type="dxa" w:w="67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CP-07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RF-08</w:t>
            </w:r>
          </w:p>
        </w:tc>
        <w:tc>
          <w:tcPr>
            <w:tcW w:type="dxa" w:w="6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CP-08</w:t>
            </w:r>
          </w:p>
        </w:tc>
      </w:tr>
      <w:tr>
        <w:tc>
          <w:tcPr>
            <w:tcW w:type="dxa" w:w="26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RF-10</w:t>
            </w:r>
          </w:p>
        </w:tc>
        <w:tc>
          <w:tcPr>
            <w:tcW w:type="dxa" w:w="67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CP-08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RF-11</w:t>
            </w:r>
          </w:p>
        </w:tc>
        <w:tc>
          <w:tcPr>
            <w:tcW w:type="dxa" w:w="6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CP-09, CP-10</w:t>
            </w:r>
          </w:p>
        </w:tc>
      </w:tr>
      <w:tr>
        <w:tc>
          <w:tcPr>
            <w:tcW w:type="dxa" w:w="26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RF-12</w:t>
            </w:r>
          </w:p>
        </w:tc>
        <w:tc>
          <w:tcPr>
            <w:tcW w:type="dxa" w:w="67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CP-09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RF-13</w:t>
            </w:r>
          </w:p>
        </w:tc>
        <w:tc>
          <w:tcPr>
            <w:tcW w:type="dxa" w:w="6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CP-15</w:t>
            </w:r>
          </w:p>
        </w:tc>
      </w:tr>
      <w:tr>
        <w:tc>
          <w:tcPr>
            <w:tcW w:type="dxa" w:w="26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RF-14</w:t>
            </w:r>
          </w:p>
        </w:tc>
        <w:tc>
          <w:tcPr>
            <w:tcW w:type="dxa" w:w="67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CP-16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RF-15</w:t>
            </w:r>
          </w:p>
        </w:tc>
        <w:tc>
          <w:tcPr>
            <w:tcW w:type="dxa" w:w="6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CP-12, CP-13, CP-14</w:t>
            </w:r>
          </w:p>
        </w:tc>
      </w:tr>
      <w:tr>
        <w:tc>
          <w:tcPr>
            <w:tcW w:type="dxa" w:w="26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RF-16</w:t>
            </w:r>
          </w:p>
        </w:tc>
        <w:tc>
          <w:tcPr>
            <w:tcW w:type="dxa" w:w="67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CP-11</w:t>
            </w:r>
          </w:p>
        </w:tc>
      </w:tr>
      <w:tr>
        <w:tc>
          <w:tcPr>
            <w:tcW w:type="dxa" w:w="260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RF-19</w:t>
            </w:r>
          </w:p>
        </w:tc>
        <w:tc>
          <w:tcPr>
            <w:tcW w:type="dxa" w:w="676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CP-17, CP-18</w:t>
            </w:r>
          </w:p>
        </w:tc>
      </w:tr>
      <w:tr>
        <w:tc>
          <w:tcPr>
            <w:tcW w:type="dxa" w:w="26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RNF-05</w:t>
            </w:r>
          </w:p>
        </w:tc>
        <w:tc>
          <w:tcPr>
            <w:tcW w:type="dxa" w:w="67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CP-11</w:t>
            </w:r>
          </w:p>
        </w:tc>
      </w:tr>
      <w:tr>
        <w:tc>
          <w:tcPr>
            <w:tcW w:type="dxa" w:w="260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RNF-06 / RNF-07</w:t>
            </w:r>
          </w:p>
        </w:tc>
        <w:tc>
          <w:tcPr>
            <w:tcW w:type="dxa" w:w="676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CP-19</w:t>
            </w:r>
          </w:p>
        </w:tc>
      </w:tr>
      <w:tr>
        <w:tc>
          <w:tcPr>
            <w:tcW w:type="dxa" w:w="260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RNF-08</w:t>
            </w:r>
          </w:p>
        </w:tc>
        <w:tc>
          <w:tcPr>
            <w:tcW w:type="dxa" w:w="6760"/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CP-14</w:t>
            </w:r>
          </w:p>
        </w:tc>
      </w:tr>
      <w:tr>
        <w:tc>
          <w:tcPr>
            <w:tcW w:type="dxa" w:w="260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RNF-10</w:t>
            </w:r>
          </w:p>
        </w:tc>
        <w:tc>
          <w:tcPr>
            <w:tcW w:type="dxa" w:w="676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CP-20</w:t>
            </w:r>
          </w:p>
        </w:tc>
      </w:tr>
      <w:tr>
        <w:tc>
          <w:tcPr>
            <w:tcW w:type="dxa" w:w="260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RNF-11</w:t>
            </w:r>
          </w:p>
        </w:tc>
        <w:tc>
          <w:tcPr>
            <w:tcW w:type="dxa" w:w="6760"/>
            <w:shd w:fill="EAF3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CP-18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BDB" w:sz="6" w:space="6"/>
      </w:pBdr>
      <w:tabs>
        <w:tab w:val="right" w:pos="9026"/>
      </w:tabs>
    </w:pPr>
    <w:r>
      <w:rPr>
        <w:rFonts w:ascii="Calibri" w:cs="Calibri" w:eastAsia="Calibri" w:hAnsi="Calibri"/>
        <w:color w:val="5D6D7E"/>
        <w:sz w:val="16"/>
        <w:szCs w:val="16"/>
      </w:rPr>
      <w:t xml:space="preserve">Requisitos y Pruebas · EnZona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5D6D7E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d3b656ecda554472711ca96453d16701fceca5e.undefined"/><Relationship Id="rId9" Type="http://schemas.openxmlformats.org/officeDocument/2006/relationships/image" Target="media/2e442012d28d5ee7d1067964ea3cff92e7ed6cc7.undefined"/><Relationship Id="rId10" Type="http://schemas.openxmlformats.org/officeDocument/2006/relationships/image" Target="media/659022bb28c2ff5b25ee5c8dda7a09d3b9b42b2b.undefined"/><Relationship Id="rId11" Type="http://schemas.openxmlformats.org/officeDocument/2006/relationships/image" Target="media/38adb63b1702d24996b716aab56d732b5aba83e1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Requisitos, Casos de Uso y Casos de Prueba — EnZona</dc:title>
  <dc:creator>Equipo EnZona</dc:creator>
  <cp:lastModifiedBy>Un-named</cp:lastModifiedBy>
  <cp:revision>1</cp:revision>
  <dcterms:created xsi:type="dcterms:W3CDTF">2026-09-12T18:40:51.032Z</dcterms:created>
  <dcterms:modified xsi:type="dcterms:W3CDTF">2026-09-12T18:40:51.039Z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