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40"/>
          <w:szCs w:val="40"/>
        </w:rPr>
        <w:t xml:space="preserve">Documento de Visión y Alcance</w:t>
      </w:r>
    </w:p>
    <w:p>
      <w:pPr>
        <w:spacing w:after="40"/>
      </w:pPr>
      <w:r>
        <w:rPr>
          <w:rFonts w:ascii="Calibri" w:cs="Calibri" w:eastAsia="Calibri" w:hAnsi="Calibri"/>
          <w:color w:val="2E86AB"/>
          <w:sz w:val="23"/>
          <w:szCs w:val="23"/>
        </w:rPr>
        <w:t xml:space="preserve">Plataforma de descubrimiento y gestión de eventos locales (nombre de trabajo: EnZona)</w:t>
      </w:r>
    </w:p>
    <w:p>
      <w:pPr>
        <w:pBdr>
          <w:bottom w:val="single" w:color="1F3A5F" w:sz="12" w:space="8"/>
        </w:pBdr>
        <w:spacing w:after="240"/>
      </w:pPr>
      <w:r>
        <w:rPr>
          <w:rFonts w:ascii="Calibri" w:cs="Calibri" w:eastAsia="Calibri" w:hAnsi="Calibri"/>
          <w:color w:val="5D6D7E"/>
          <w:sz w:val="19"/>
          <w:szCs w:val="19"/>
        </w:rPr>
        <w:t xml:space="preserve">Taller de Pruebas de Software · Desarrollo de Empresas Tecnológicas · Universidad Veracruzana</w:t>
      </w:r>
    </w:p>
    <w:p>
      <w:pPr>
        <w:pBdr>
          <w:bottom w:val="single" w:color="D5DBDB" w:sz="6" w:space="6"/>
        </w:pBdr>
        <w:spacing w:after="120" w:before="340"/>
      </w:pPr>
      <w:r>
        <w:rPr>
          <w:rFonts w:ascii="Calibri" w:cs="Calibri" w:eastAsia="Calibri" w:hAnsi="Calibri"/>
          <w:b/>
          <w:bCs/>
          <w:color w:val="1F3A5F"/>
          <w:sz w:val="28"/>
          <w:szCs w:val="28"/>
        </w:rPr>
        <w:t xml:space="preserve">1. Introducción</w:t>
      </w:r>
    </w:p>
    <w:p>
      <w:pPr>
        <w:spacing w:after="60" w:before="160"/>
      </w:pPr>
      <w:r>
        <w:rPr>
          <w:rFonts w:ascii="Calibri" w:cs="Calibri" w:eastAsia="Calibri" w:hAnsi="Calibri"/>
          <w:b/>
          <w:bCs/>
          <w:color w:val="2E86AB"/>
          <w:sz w:val="22"/>
          <w:szCs w:val="22"/>
        </w:rPr>
        <w:t xml:space="preserve">Propósito del documento</w:t>
      </w:r>
    </w:p>
    <w:p>
      <w:pPr>
        <w:spacing w:after="120" w:line="288"/>
      </w:pPr>
      <w:r>
        <w:rPr>
          <w:rFonts w:ascii="Calibri" w:cs="Calibri" w:eastAsia="Calibri" w:hAnsi="Calibri"/>
          <w:color w:val="212529"/>
          <w:sz w:val="22"/>
          <w:szCs w:val="22"/>
        </w:rPr>
        <w:t xml:space="preserve">Este documento define el problema que se busca resolver, el software que se pretende construir y hasta dónde llegará el proyecto. Sirve como referencia común para el equipo de desarrollo y como base para el documento maestro de pruebas de la asignatura de Taller de Pruebas de Software. Su intención es delimitar con claridad la visión y, sobre todo, el alcance del sistema.</w:t>
      </w:r>
    </w:p>
    <w:p>
      <w:pPr>
        <w:spacing w:after="60" w:before="160"/>
      </w:pPr>
      <w:r>
        <w:rPr>
          <w:rFonts w:ascii="Calibri" w:cs="Calibri" w:eastAsia="Calibri" w:hAnsi="Calibri"/>
          <w:b/>
          <w:bCs/>
          <w:color w:val="2E86AB"/>
          <w:sz w:val="22"/>
          <w:szCs w:val="22"/>
        </w:rPr>
        <w:t xml:space="preserve">Descripción general del proyecto</w:t>
      </w:r>
    </w:p>
    <w:p>
      <w:pPr>
        <w:spacing w:after="120" w:line="288"/>
      </w:pPr>
      <w:r>
        <w:rPr>
          <w:rFonts w:ascii="Calibri" w:cs="Calibri" w:eastAsia="Calibri" w:hAnsi="Calibri"/>
          <w:color w:val="212529"/>
          <w:sz w:val="22"/>
          <w:szCs w:val="22"/>
        </w:rPr>
        <w:t xml:space="preserve">EnZona es una plataforma web que permite descubrir, publicar y gestionar eventos de una zona determinada, con control de acceso mediante boletos electrónicos con código QR. Atiende tanto eventos gratuitos, mediante confirmación de asistencia para llevar el conteo de aforo, como eventos de pago, mediante la gestión de compra-venta de boletos. Se desarrollará con React y Vite en el frontend, Java con Spring Boot en el backend y PostgreSQL como base de datos, siguiendo un modelo de proceso iterativo incremental.</w:t>
      </w:r>
    </w:p>
    <w:p>
      <w:pPr>
        <w:spacing w:after="60" w:before="160"/>
      </w:pPr>
      <w:r>
        <w:rPr>
          <w:rFonts w:ascii="Calibri" w:cs="Calibri" w:eastAsia="Calibri" w:hAnsi="Calibri"/>
          <w:b/>
          <w:bCs/>
          <w:color w:val="2E86AB"/>
          <w:sz w:val="22"/>
          <w:szCs w:val="22"/>
        </w:rPr>
        <w:t xml:space="preserve">Contexto</w:t>
      </w:r>
    </w:p>
    <w:p>
      <w:pPr>
        <w:spacing w:after="120" w:line="288"/>
      </w:pPr>
      <w:r>
        <w:rPr>
          <w:rFonts w:ascii="Calibri" w:cs="Calibri" w:eastAsia="Calibri" w:hAnsi="Calibri"/>
          <w:color w:val="212529"/>
          <w:sz w:val="22"/>
          <w:szCs w:val="22"/>
        </w:rPr>
        <w:t xml:space="preserve">El proyecto se desarrolla como trabajo conjunto para dos asignaturas: en Taller de Pruebas de Software funge como sistema a probar con un público objetivo real, y en Desarrollo de Empresas Tecnológicas funge como idea de negocio. El enfoque es hiperlocal: atender a organizadores pequeños y al descubrimiento de eventos cercanos, un segmento poco atendido por las plataformas nacionales. El proyecto considera la normatividad aplicable en materia de protección de datos personales y de transparencia de precios.</w:t>
      </w:r>
    </w:p>
    <w:p>
      <w:pPr>
        <w:pBdr>
          <w:bottom w:val="single" w:color="D5DBDB" w:sz="6" w:space="6"/>
        </w:pBdr>
        <w:spacing w:after="120" w:before="340"/>
      </w:pPr>
      <w:r>
        <w:rPr>
          <w:rFonts w:ascii="Calibri" w:cs="Calibri" w:eastAsia="Calibri" w:hAnsi="Calibri"/>
          <w:b/>
          <w:bCs/>
          <w:color w:val="1F3A5F"/>
          <w:sz w:val="28"/>
          <w:szCs w:val="28"/>
        </w:rPr>
        <w:t xml:space="preserve">2. Problema</w:t>
      </w:r>
    </w:p>
    <w:p>
      <w:pPr>
        <w:spacing w:after="60" w:before="160"/>
      </w:pPr>
      <w:r>
        <w:rPr>
          <w:rFonts w:ascii="Calibri" w:cs="Calibri" w:eastAsia="Calibri" w:hAnsi="Calibri"/>
          <w:b/>
          <w:bCs/>
          <w:color w:val="2E86AB"/>
          <w:sz w:val="22"/>
          <w:szCs w:val="22"/>
        </w:rPr>
        <w:t xml:space="preserve">Situación actual</w:t>
      </w:r>
    </w:p>
    <w:p>
      <w:pPr>
        <w:spacing w:after="120" w:line="288"/>
      </w:pPr>
      <w:r>
        <w:rPr>
          <w:rFonts w:ascii="Calibri" w:cs="Calibri" w:eastAsia="Calibri" w:hAnsi="Calibri"/>
          <w:color w:val="212529"/>
          <w:sz w:val="22"/>
          <w:szCs w:val="22"/>
        </w:rPr>
        <w:t xml:space="preserve">La difusión de eventos locales está fragmentada entre redes sociales, carteles y recomendaciones de boca en boca, sin un lugar único donde descubrirlos. El control de acceso y del aforo suele realizarse de forma manual, con listas o boletos de papel. Las plataformas nacionales de boletaje cobran comisiones elevadas y están orientadas a eventos medianos y grandes, por lo que no atienden bien a los organizadores pequeños ni al descubrimiento hiperlocal.</w:t>
      </w:r>
    </w:p>
    <w:p>
      <w:pPr>
        <w:spacing w:after="60" w:before="160"/>
      </w:pPr>
      <w:r>
        <w:rPr>
          <w:rFonts w:ascii="Calibri" w:cs="Calibri" w:eastAsia="Calibri" w:hAnsi="Calibri"/>
          <w:b/>
          <w:bCs/>
          <w:color w:val="2E86AB"/>
          <w:sz w:val="22"/>
          <w:szCs w:val="22"/>
        </w:rPr>
        <w:t xml:space="preserve">Problema identificado</w:t>
      </w:r>
    </w:p>
    <w:p>
      <w:pPr>
        <w:spacing w:after="120" w:line="288"/>
      </w:pPr>
      <w:r>
        <w:rPr>
          <w:rFonts w:ascii="Calibri" w:cs="Calibri" w:eastAsia="Calibri" w:hAnsi="Calibri"/>
          <w:color w:val="212529"/>
          <w:sz w:val="22"/>
          <w:szCs w:val="22"/>
        </w:rPr>
        <w:t xml:space="preserve">No existe una forma sencilla, local y confiable de que las personas descubran eventos cercanos y de que los organizadores pequeños publiquen, gestionen y controlen el acceso a sus eventos —gratuitos o de pago— con boletos verificables y a un costo justo.</w:t>
      </w:r>
    </w:p>
    <w:p>
      <w:pPr>
        <w:spacing w:after="60" w:before="160"/>
      </w:pPr>
      <w:r>
        <w:rPr>
          <w:rFonts w:ascii="Calibri" w:cs="Calibri" w:eastAsia="Calibri" w:hAnsi="Calibri"/>
          <w:b/>
          <w:bCs/>
          <w:color w:val="2E86AB"/>
          <w:sz w:val="22"/>
          <w:szCs w:val="22"/>
        </w:rPr>
        <w:t xml:space="preserve">Consecuencias del problema</w:t>
      </w:r>
    </w:p>
    <w:p>
      <w:pPr>
        <w:pStyle w:val="ListParagraph"/>
        <w:numPr>
          <w:ilvl w:val="0"/>
          <w:numId w:val="2"/>
        </w:numPr>
        <w:spacing w:after="70" w:line="282"/>
      </w:pPr>
      <w:r>
        <w:rPr>
          <w:rFonts w:ascii="Calibri" w:cs="Calibri" w:eastAsia="Calibri" w:hAnsi="Calibri"/>
          <w:b/>
          <w:bCs/>
          <w:color w:val="212529"/>
          <w:sz w:val="22"/>
          <w:szCs w:val="22"/>
        </w:rPr>
        <w:t xml:space="preserve">Baja difusión: </w:t>
      </w:r>
      <w:r>
        <w:rPr>
          <w:rFonts w:ascii="Calibri" w:cs="Calibri" w:eastAsia="Calibri" w:hAnsi="Calibri"/>
          <w:color w:val="212529"/>
          <w:sz w:val="22"/>
          <w:szCs w:val="22"/>
        </w:rPr>
        <w:t xml:space="preserve">por falta de difusión, la asistencia a los eventos es menor a la esperada.</w:t>
      </w:r>
    </w:p>
    <w:p>
      <w:pPr>
        <w:pStyle w:val="ListParagraph"/>
        <w:numPr>
          <w:ilvl w:val="0"/>
          <w:numId w:val="2"/>
        </w:numPr>
        <w:spacing w:after="70" w:line="282"/>
      </w:pPr>
      <w:r>
        <w:rPr>
          <w:rFonts w:ascii="Calibri" w:cs="Calibri" w:eastAsia="Calibri" w:hAnsi="Calibri"/>
          <w:b/>
          <w:bCs/>
          <w:color w:val="212529"/>
          <w:sz w:val="22"/>
          <w:szCs w:val="22"/>
        </w:rPr>
        <w:t xml:space="preserve">Descontrol de acceso: </w:t>
      </w:r>
      <w:r>
        <w:rPr>
          <w:rFonts w:ascii="Calibri" w:cs="Calibri" w:eastAsia="Calibri" w:hAnsi="Calibri"/>
          <w:color w:val="212529"/>
          <w:sz w:val="22"/>
          <w:szCs w:val="22"/>
        </w:rPr>
        <w:t xml:space="preserve">el control manual provoca duplicación de boletos, sobreventa y filas en el acceso.</w:t>
      </w:r>
    </w:p>
    <w:p>
      <w:pPr>
        <w:pStyle w:val="ListParagraph"/>
        <w:numPr>
          <w:ilvl w:val="0"/>
          <w:numId w:val="2"/>
        </w:numPr>
        <w:spacing w:after="70" w:line="282"/>
      </w:pPr>
      <w:r>
        <w:rPr>
          <w:rFonts w:ascii="Calibri" w:cs="Calibri" w:eastAsia="Calibri" w:hAnsi="Calibri"/>
          <w:b/>
          <w:bCs/>
          <w:color w:val="212529"/>
          <w:sz w:val="22"/>
          <w:szCs w:val="22"/>
        </w:rPr>
        <w:t xml:space="preserve">Costos y pérdidas: </w:t>
      </w:r>
      <w:r>
        <w:rPr>
          <w:rFonts w:ascii="Calibri" w:cs="Calibri" w:eastAsia="Calibri" w:hAnsi="Calibri"/>
          <w:color w:val="212529"/>
          <w:sz w:val="22"/>
          <w:szCs w:val="22"/>
        </w:rPr>
        <w:t xml:space="preserve">las comisiones altas y la gestión manual reducen las ganancias del organizador.</w:t>
      </w:r>
    </w:p>
    <w:p>
      <w:pPr>
        <w:pStyle w:val="ListParagraph"/>
        <w:numPr>
          <w:ilvl w:val="0"/>
          <w:numId w:val="2"/>
        </w:numPr>
        <w:spacing w:after="70" w:line="282"/>
      </w:pPr>
      <w:r>
        <w:rPr>
          <w:rFonts w:ascii="Calibri" w:cs="Calibri" w:eastAsia="Calibri" w:hAnsi="Calibri"/>
          <w:b/>
          <w:bCs/>
          <w:color w:val="212529"/>
          <w:sz w:val="22"/>
          <w:szCs w:val="22"/>
        </w:rPr>
        <w:t xml:space="preserve">Fraude: </w:t>
      </w:r>
      <w:r>
        <w:rPr>
          <w:rFonts w:ascii="Calibri" w:cs="Calibri" w:eastAsia="Calibri" w:hAnsi="Calibri"/>
          <w:color w:val="212529"/>
          <w:sz w:val="22"/>
          <w:szCs w:val="22"/>
        </w:rPr>
        <w:t xml:space="preserve">sin boletos verificables aumenta el fraude y la mala experiencia del asistente.</w:t>
      </w:r>
    </w:p>
    <w:p>
      <w:pPr>
        <w:spacing w:after="60" w:before="160"/>
      </w:pPr>
      <w:r>
        <w:rPr>
          <w:rFonts w:ascii="Calibri" w:cs="Calibri" w:eastAsia="Calibri" w:hAnsi="Calibri"/>
          <w:b/>
          <w:bCs/>
          <w:color w:val="2E86AB"/>
          <w:sz w:val="22"/>
          <w:szCs w:val="22"/>
        </w:rPr>
        <w:t xml:space="preserve">Necesidad de una solución</w:t>
      </w:r>
    </w:p>
    <w:p>
      <w:pPr>
        <w:spacing w:after="120" w:line="288"/>
      </w:pPr>
      <w:r>
        <w:rPr>
          <w:rFonts w:ascii="Calibri" w:cs="Calibri" w:eastAsia="Calibri" w:hAnsi="Calibri"/>
          <w:color w:val="212529"/>
          <w:sz w:val="22"/>
          <w:szCs w:val="22"/>
        </w:rPr>
        <w:t xml:space="preserve">Se requiere una plataforma que centralice el descubrimiento de eventos locales, facilite su publicación y gestión, y garantice boletos electrónicos únicos y verificables, con transparencia de precios y comisiones justas.</w:t>
      </w:r>
    </w:p>
    <w:p>
      <w:pPr>
        <w:pBdr>
          <w:bottom w:val="single" w:color="D5DBDB" w:sz="6" w:space="6"/>
        </w:pBdr>
        <w:spacing w:after="120" w:before="340"/>
      </w:pPr>
      <w:r>
        <w:rPr>
          <w:rFonts w:ascii="Calibri" w:cs="Calibri" w:eastAsia="Calibri" w:hAnsi="Calibri"/>
          <w:b/>
          <w:bCs/>
          <w:color w:val="1F3A5F"/>
          <w:sz w:val="28"/>
          <w:szCs w:val="28"/>
        </w:rPr>
        <w:t xml:space="preserve">3. Objetivos</w:t>
      </w:r>
    </w:p>
    <w:p>
      <w:pPr>
        <w:spacing w:after="60" w:before="160"/>
      </w:pPr>
      <w:r>
        <w:rPr>
          <w:rFonts w:ascii="Calibri" w:cs="Calibri" w:eastAsia="Calibri" w:hAnsi="Calibri"/>
          <w:b/>
          <w:bCs/>
          <w:color w:val="2E86AB"/>
          <w:sz w:val="22"/>
          <w:szCs w:val="22"/>
        </w:rPr>
        <w:t xml:space="preserve">Objetivo general</w:t>
      </w:r>
    </w:p>
    <w:p>
      <w:pPr>
        <w:spacing w:after="120" w:line="288"/>
      </w:pPr>
      <w:r>
        <w:rPr>
          <w:rFonts w:ascii="Calibri" w:cs="Calibri" w:eastAsia="Calibri" w:hAnsi="Calibri"/>
          <w:color w:val="212529"/>
          <w:sz w:val="22"/>
          <w:szCs w:val="22"/>
        </w:rPr>
        <w:t xml:space="preserve">Desarrollar una plataforma web que permita descubrir, publicar y gestionar eventos locales, con emisión y validación de boletos electrónicos únicos, atendiendo tanto eventos gratuitos como de pago.</w:t>
      </w:r>
    </w:p>
    <w:p>
      <w:pPr>
        <w:spacing w:after="60" w:before="160"/>
      </w:pPr>
      <w:r>
        <w:rPr>
          <w:rFonts w:ascii="Calibri" w:cs="Calibri" w:eastAsia="Calibri" w:hAnsi="Calibri"/>
          <w:b/>
          <w:bCs/>
          <w:color w:val="2E86AB"/>
          <w:sz w:val="22"/>
          <w:szCs w:val="22"/>
        </w:rPr>
        <w:t xml:space="preserve">Objetivos específicos</w:t>
      </w:r>
    </w:p>
    <w:p>
      <w:pPr>
        <w:pStyle w:val="ListParagraph"/>
        <w:numPr>
          <w:ilvl w:val="0"/>
          <w:numId w:val="2"/>
        </w:numPr>
        <w:spacing w:after="70" w:line="282"/>
      </w:pPr>
      <w:r>
        <w:rPr>
          <w:rFonts w:ascii="Calibri" w:cs="Calibri" w:eastAsia="Calibri" w:hAnsi="Calibri"/>
          <w:color w:val="212529"/>
          <w:sz w:val="22"/>
          <w:szCs w:val="22"/>
        </w:rPr>
        <w:t xml:space="preserve">Implementar un registro e inicio de sesión seguros, con un dato de verificación de identidad que reduzca el fraude.</w:t>
      </w:r>
    </w:p>
    <w:p>
      <w:pPr>
        <w:pStyle w:val="ListParagraph"/>
        <w:numPr>
          <w:ilvl w:val="0"/>
          <w:numId w:val="2"/>
        </w:numPr>
        <w:spacing w:after="70" w:line="282"/>
      </w:pPr>
      <w:r>
        <w:rPr>
          <w:rFonts w:ascii="Calibri" w:cs="Calibri" w:eastAsia="Calibri" w:hAnsi="Calibri"/>
          <w:color w:val="212529"/>
          <w:sz w:val="22"/>
          <w:szCs w:val="22"/>
        </w:rPr>
        <w:t xml:space="preserve">Permitir el descubrimiento de eventos mediante listado, búsqueda y filtros por lugar, fecha y tipo.</w:t>
      </w:r>
    </w:p>
    <w:p>
      <w:pPr>
        <w:pStyle w:val="ListParagraph"/>
        <w:numPr>
          <w:ilvl w:val="0"/>
          <w:numId w:val="2"/>
        </w:numPr>
        <w:spacing w:after="70" w:line="282"/>
      </w:pPr>
      <w:r>
        <w:rPr>
          <w:rFonts w:ascii="Calibri" w:cs="Calibri" w:eastAsia="Calibri" w:hAnsi="Calibri"/>
          <w:color w:val="212529"/>
          <w:sz w:val="22"/>
          <w:szCs w:val="22"/>
        </w:rPr>
        <w:t xml:space="preserve">Permitir a los organizadores crear, publicar y modificar eventos bajo políticas definidas.</w:t>
      </w:r>
    </w:p>
    <w:p>
      <w:pPr>
        <w:pStyle w:val="ListParagraph"/>
        <w:numPr>
          <w:ilvl w:val="0"/>
          <w:numId w:val="2"/>
        </w:numPr>
        <w:spacing w:after="70" w:line="282"/>
      </w:pPr>
      <w:r>
        <w:rPr>
          <w:rFonts w:ascii="Calibri" w:cs="Calibri" w:eastAsia="Calibri" w:hAnsi="Calibri"/>
          <w:color w:val="212529"/>
          <w:sz w:val="22"/>
          <w:szCs w:val="22"/>
        </w:rPr>
        <w:t xml:space="preserve">Gestionar el aforo y la confirmación de asistencia para eventos gratuitos.</w:t>
      </w:r>
    </w:p>
    <w:p>
      <w:pPr>
        <w:pStyle w:val="ListParagraph"/>
        <w:numPr>
          <w:ilvl w:val="0"/>
          <w:numId w:val="2"/>
        </w:numPr>
        <w:spacing w:after="70" w:line="282"/>
      </w:pPr>
      <w:r>
        <w:rPr>
          <w:rFonts w:ascii="Calibri" w:cs="Calibri" w:eastAsia="Calibri" w:hAnsi="Calibri"/>
          <w:color w:val="212529"/>
          <w:sz w:val="22"/>
          <w:szCs w:val="22"/>
        </w:rPr>
        <w:t xml:space="preserve">Gestionar la compra-venta de boletos y, cuando el tipo de evento lo requiera, la selección de asiento o lugar.</w:t>
      </w:r>
    </w:p>
    <w:p>
      <w:pPr>
        <w:pStyle w:val="ListParagraph"/>
        <w:numPr>
          <w:ilvl w:val="0"/>
          <w:numId w:val="2"/>
        </w:numPr>
        <w:spacing w:after="70" w:line="282"/>
      </w:pPr>
      <w:r>
        <w:rPr>
          <w:rFonts w:ascii="Calibri" w:cs="Calibri" w:eastAsia="Calibri" w:hAnsi="Calibri"/>
          <w:color w:val="212529"/>
          <w:sz w:val="22"/>
          <w:szCs w:val="22"/>
        </w:rPr>
        <w:t xml:space="preserve">Emitir boletos electrónicos firmados y de un solo uso, entregarlos por correo y validarlos con código QR en el acceso.</w:t>
      </w:r>
    </w:p>
    <w:p>
      <w:pPr>
        <w:pStyle w:val="ListParagraph"/>
        <w:numPr>
          <w:ilvl w:val="0"/>
          <w:numId w:val="2"/>
        </w:numPr>
        <w:spacing w:after="70" w:line="282"/>
      </w:pPr>
      <w:r>
        <w:rPr>
          <w:rFonts w:ascii="Calibri" w:cs="Calibri" w:eastAsia="Calibri" w:hAnsi="Calibri"/>
          <w:color w:val="212529"/>
          <w:sz w:val="22"/>
          <w:szCs w:val="22"/>
        </w:rPr>
        <w:t xml:space="preserve">Proteger los datos personales de los usuarios y cumplir la normatividad aplicable.</w:t>
      </w:r>
    </w:p>
    <w:p>
      <w:pPr>
        <w:pBdr>
          <w:bottom w:val="single" w:color="D5DBDB" w:sz="6" w:space="6"/>
        </w:pBdr>
        <w:spacing w:after="120" w:before="340"/>
      </w:pPr>
      <w:r>
        <w:rPr>
          <w:rFonts w:ascii="Calibri" w:cs="Calibri" w:eastAsia="Calibri" w:hAnsi="Calibri"/>
          <w:b/>
          <w:bCs/>
          <w:color w:val="1F3A5F"/>
          <w:sz w:val="28"/>
          <w:szCs w:val="28"/>
        </w:rPr>
        <w:t xml:space="preserve">4. Alcance</w:t>
      </w:r>
    </w:p>
    <w:p>
      <w:pPr>
        <w:spacing w:after="60" w:before="160"/>
      </w:pPr>
      <w:r>
        <w:rPr>
          <w:rFonts w:ascii="Calibri" w:cs="Calibri" w:eastAsia="Calibri" w:hAnsi="Calibri"/>
          <w:b/>
          <w:bCs/>
          <w:color w:val="2E86AB"/>
          <w:sz w:val="22"/>
          <w:szCs w:val="22"/>
        </w:rPr>
        <w:t xml:space="preserve">Incluye</w:t>
      </w:r>
    </w:p>
    <w:p>
      <w:pPr>
        <w:pStyle w:val="ListParagraph"/>
        <w:numPr>
          <w:ilvl w:val="0"/>
          <w:numId w:val="2"/>
        </w:numPr>
        <w:spacing w:after="70" w:line="282"/>
      </w:pPr>
      <w:r>
        <w:rPr>
          <w:rFonts w:ascii="Calibri" w:cs="Calibri" w:eastAsia="Calibri" w:hAnsi="Calibri"/>
          <w:b/>
          <w:bCs/>
          <w:color w:val="212529"/>
          <w:sz w:val="22"/>
          <w:szCs w:val="22"/>
        </w:rPr>
        <w:t xml:space="preserve">Funcionalidades — </w:t>
      </w:r>
      <w:r>
        <w:rPr>
          <w:rFonts w:ascii="Calibri" w:cs="Calibri" w:eastAsia="Calibri" w:hAnsi="Calibri"/>
          <w:color w:val="212529"/>
          <w:sz w:val="22"/>
          <w:szCs w:val="22"/>
        </w:rPr>
        <w:t xml:space="preserve">registro e inicio de sesión con verificación de identidad, perfil de usuario y gestión de roles.</w:t>
      </w:r>
    </w:p>
    <w:p>
      <w:pPr>
        <w:pStyle w:val="ListParagraph"/>
        <w:numPr>
          <w:ilvl w:val="0"/>
          <w:numId w:val="2"/>
        </w:numPr>
        <w:spacing w:after="70" w:line="282"/>
      </w:pPr>
      <w:r>
        <w:rPr>
          <w:rFonts w:ascii="Calibri" w:cs="Calibri" w:eastAsia="Calibri" w:hAnsi="Calibri"/>
          <w:color w:val="212529"/>
          <w:sz w:val="22"/>
          <w:szCs w:val="22"/>
        </w:rPr>
        <w:t xml:space="preserve">catálogo y descubrimiento de eventos con búsqueda y filtros (lugar, fecha, tipo) y página de detalle.</w:t>
      </w:r>
    </w:p>
    <w:p>
      <w:pPr>
        <w:pStyle w:val="ListParagraph"/>
        <w:numPr>
          <w:ilvl w:val="0"/>
          <w:numId w:val="2"/>
        </w:numPr>
        <w:spacing w:after="70" w:line="282"/>
      </w:pPr>
      <w:r>
        <w:rPr>
          <w:rFonts w:ascii="Calibri" w:cs="Calibri" w:eastAsia="Calibri" w:hAnsi="Calibri"/>
          <w:color w:val="212529"/>
          <w:sz w:val="22"/>
          <w:szCs w:val="22"/>
        </w:rPr>
        <w:t xml:space="preserve">creación, edición, publicación y cancelación de eventos por parte de los organizadores.</w:t>
      </w:r>
    </w:p>
    <w:p>
      <w:pPr>
        <w:pStyle w:val="ListParagraph"/>
        <w:numPr>
          <w:ilvl w:val="0"/>
          <w:numId w:val="2"/>
        </w:numPr>
        <w:spacing w:after="70" w:line="282"/>
      </w:pPr>
      <w:r>
        <w:rPr>
          <w:rFonts w:ascii="Calibri" w:cs="Calibri" w:eastAsia="Calibri" w:hAnsi="Calibri"/>
          <w:color w:val="212529"/>
          <w:sz w:val="22"/>
          <w:szCs w:val="22"/>
        </w:rPr>
        <w:t xml:space="preserve">confirmación de asistencia (RSVP) con conteo de aforo para eventos gratuitos.</w:t>
      </w:r>
    </w:p>
    <w:p>
      <w:pPr>
        <w:pStyle w:val="ListParagraph"/>
        <w:numPr>
          <w:ilvl w:val="0"/>
          <w:numId w:val="2"/>
        </w:numPr>
        <w:spacing w:after="70" w:line="282"/>
      </w:pPr>
      <w:r>
        <w:rPr>
          <w:rFonts w:ascii="Calibri" w:cs="Calibri" w:eastAsia="Calibri" w:hAnsi="Calibri"/>
          <w:color w:val="212529"/>
          <w:sz w:val="22"/>
          <w:szCs w:val="22"/>
        </w:rPr>
        <w:t xml:space="preserve">gestión de compra-venta de boletos para eventos de pago, mediante pasarela de pago externa, y selección de asiento o lugar cuando el tipo de evento lo requiera.</w:t>
      </w:r>
    </w:p>
    <w:p>
      <w:pPr>
        <w:pStyle w:val="ListParagraph"/>
        <w:numPr>
          <w:ilvl w:val="0"/>
          <w:numId w:val="2"/>
        </w:numPr>
        <w:spacing w:after="70" w:line="282"/>
      </w:pPr>
      <w:r>
        <w:rPr>
          <w:rFonts w:ascii="Calibri" w:cs="Calibri" w:eastAsia="Calibri" w:hAnsi="Calibri"/>
          <w:color w:val="212529"/>
          <w:sz w:val="22"/>
          <w:szCs w:val="22"/>
        </w:rPr>
        <w:t xml:space="preserve">emisión de boleto electrónico firmado y de un solo uso, con envío por correo y validación por código QR en el acceso (incluido su uso único).</w:t>
      </w:r>
    </w:p>
    <w:p>
      <w:pPr>
        <w:pStyle w:val="ListParagraph"/>
        <w:numPr>
          <w:ilvl w:val="0"/>
          <w:numId w:val="2"/>
        </w:numPr>
        <w:spacing w:after="70" w:line="282"/>
      </w:pPr>
      <w:r>
        <w:rPr>
          <w:rFonts w:ascii="Calibri" w:cs="Calibri" w:eastAsia="Calibri" w:hAnsi="Calibri"/>
          <w:color w:val="212529"/>
          <w:sz w:val="22"/>
          <w:szCs w:val="22"/>
        </w:rPr>
        <w:t xml:space="preserve">panel del organizador con conteo de asistentes, ventas y check-ins.</w:t>
      </w:r>
    </w:p>
    <w:p>
      <w:pPr>
        <w:pStyle w:val="ListParagraph"/>
        <w:numPr>
          <w:ilvl w:val="0"/>
          <w:numId w:val="2"/>
        </w:numPr>
        <w:spacing w:after="70" w:line="282"/>
      </w:pPr>
      <w:r>
        <w:rPr>
          <w:rFonts w:ascii="Calibri" w:cs="Calibri" w:eastAsia="Calibri" w:hAnsi="Calibri"/>
          <w:b/>
          <w:bCs/>
          <w:color w:val="212529"/>
          <w:sz w:val="22"/>
          <w:szCs w:val="22"/>
        </w:rPr>
        <w:t xml:space="preserve">Procesos — </w:t>
      </w:r>
      <w:r>
        <w:rPr>
          <w:rFonts w:ascii="Calibri" w:cs="Calibri" w:eastAsia="Calibri" w:hAnsi="Calibri"/>
          <w:color w:val="212529"/>
          <w:sz w:val="22"/>
          <w:szCs w:val="22"/>
        </w:rPr>
        <w:t xml:space="preserve">gestión de identidad y acceso; ciclo de vida del evento (borrador, publicado, realizado, cancelado); gestión de boletos y asistencia; validación de acceso; pagos y reembolsos a través de la pasarela; notificaciones por correo.</w:t>
      </w:r>
    </w:p>
    <w:p>
      <w:pPr>
        <w:pStyle w:val="ListParagraph"/>
        <w:numPr>
          <w:ilvl w:val="0"/>
          <w:numId w:val="2"/>
        </w:numPr>
        <w:spacing w:after="70" w:line="282"/>
      </w:pPr>
      <w:r>
        <w:rPr>
          <w:rFonts w:ascii="Calibri" w:cs="Calibri" w:eastAsia="Calibri" w:hAnsi="Calibri"/>
          <w:b/>
          <w:bCs/>
          <w:color w:val="212529"/>
          <w:sz w:val="22"/>
          <w:szCs w:val="22"/>
        </w:rPr>
        <w:t xml:space="preserve">Usuarios — </w:t>
      </w:r>
      <w:r>
        <w:rPr>
          <w:rFonts w:ascii="Calibri" w:cs="Calibri" w:eastAsia="Calibri" w:hAnsi="Calibri"/>
          <w:color w:val="212529"/>
          <w:sz w:val="22"/>
          <w:szCs w:val="22"/>
        </w:rPr>
        <w:t xml:space="preserve">asistentes, organizadores, personal de acceso (validación en puerta) y administrador de la plataforma.</w:t>
      </w:r>
    </w:p>
    <w:p>
      <w:pPr>
        <w:spacing w:after="60" w:before="160"/>
      </w:pPr>
      <w:r>
        <w:rPr>
          <w:rFonts w:ascii="Calibri" w:cs="Calibri" w:eastAsia="Calibri" w:hAnsi="Calibri"/>
          <w:b/>
          <w:bCs/>
          <w:color w:val="2E86AB"/>
          <w:sz w:val="22"/>
          <w:szCs w:val="22"/>
        </w:rPr>
        <w:t xml:space="preserve">No incluye</w:t>
      </w:r>
    </w:p>
    <w:p>
      <w:pPr>
        <w:pStyle w:val="ListParagraph"/>
        <w:numPr>
          <w:ilvl w:val="0"/>
          <w:numId w:val="2"/>
        </w:numPr>
        <w:spacing w:after="70" w:line="282"/>
      </w:pPr>
      <w:r>
        <w:rPr>
          <w:rFonts w:ascii="Calibri" w:cs="Calibri" w:eastAsia="Calibri" w:hAnsi="Calibri"/>
          <w:color w:val="212529"/>
          <w:sz w:val="22"/>
          <w:szCs w:val="22"/>
        </w:rPr>
        <w:t xml:space="preserve">Custodia directa de fondos: los pagos se procesan mediante una pasarela externa; la plataforma no almacena datos de tarjetas ni administra el dinero directamente.</w:t>
      </w:r>
    </w:p>
    <w:p>
      <w:pPr>
        <w:pStyle w:val="ListParagraph"/>
        <w:numPr>
          <w:ilvl w:val="0"/>
          <w:numId w:val="2"/>
        </w:numPr>
        <w:spacing w:after="70" w:line="282"/>
      </w:pPr>
      <w:r>
        <w:rPr>
          <w:rFonts w:ascii="Calibri" w:cs="Calibri" w:eastAsia="Calibri" w:hAnsi="Calibri"/>
          <w:color w:val="212529"/>
          <w:sz w:val="22"/>
          <w:szCs w:val="22"/>
        </w:rPr>
        <w:t xml:space="preserve">Aplicación móvil nativa: se entregará una aplicación web responsiva; una app nativa queda fuera de esta versión.</w:t>
      </w:r>
    </w:p>
    <w:p>
      <w:pPr>
        <w:pStyle w:val="ListParagraph"/>
        <w:numPr>
          <w:ilvl w:val="0"/>
          <w:numId w:val="2"/>
        </w:numPr>
        <w:spacing w:after="70" w:line="282"/>
      </w:pPr>
      <w:r>
        <w:rPr>
          <w:rFonts w:ascii="Calibri" w:cs="Calibri" w:eastAsia="Calibri" w:hAnsi="Calibri"/>
          <w:color w:val="212529"/>
          <w:sz w:val="22"/>
          <w:szCs w:val="22"/>
        </w:rPr>
        <w:t xml:space="preserve">Mercado secundario de reventa o transferencia de boletos entre usuarios.</w:t>
      </w:r>
    </w:p>
    <w:p>
      <w:pPr>
        <w:pStyle w:val="ListParagraph"/>
        <w:numPr>
          <w:ilvl w:val="0"/>
          <w:numId w:val="2"/>
        </w:numPr>
        <w:spacing w:after="70" w:line="282"/>
      </w:pPr>
      <w:r>
        <w:rPr>
          <w:rFonts w:ascii="Calibri" w:cs="Calibri" w:eastAsia="Calibri" w:hAnsi="Calibri"/>
          <w:color w:val="212529"/>
          <w:sz w:val="22"/>
          <w:szCs w:val="22"/>
        </w:rPr>
        <w:t xml:space="preserve">Facturación electrónica (CFDI) y timbrado ante el SAT, así como reportes fiscales o contables.</w:t>
      </w:r>
    </w:p>
    <w:p>
      <w:pPr>
        <w:pStyle w:val="ListParagraph"/>
        <w:numPr>
          <w:ilvl w:val="0"/>
          <w:numId w:val="2"/>
        </w:numPr>
        <w:spacing w:after="70" w:line="282"/>
      </w:pPr>
      <w:r>
        <w:rPr>
          <w:rFonts w:ascii="Calibri" w:cs="Calibri" w:eastAsia="Calibri" w:hAnsi="Calibri"/>
          <w:color w:val="212529"/>
          <w:sz w:val="22"/>
          <w:szCs w:val="22"/>
        </w:rPr>
        <w:t xml:space="preserve">Eventos en línea, transmisión (streaming) y validación por reconocimiento facial o hardware especializado.</w:t>
      </w:r>
    </w:p>
    <w:p>
      <w:pPr>
        <w:pStyle w:val="ListParagraph"/>
        <w:numPr>
          <w:ilvl w:val="0"/>
          <w:numId w:val="2"/>
        </w:numPr>
        <w:spacing w:after="70" w:line="282"/>
      </w:pPr>
      <w:r>
        <w:rPr>
          <w:rFonts w:ascii="Calibri" w:cs="Calibri" w:eastAsia="Calibri" w:hAnsi="Calibri"/>
          <w:color w:val="212529"/>
          <w:sz w:val="22"/>
          <w:szCs w:val="22"/>
        </w:rPr>
        <w:t xml:space="preserve">Publicación automática en redes sociales (más allá de compartir el enlace del evento).</w:t>
      </w:r>
    </w:p>
    <w:p>
      <w:pPr>
        <w:pStyle w:val="ListParagraph"/>
        <w:numPr>
          <w:ilvl w:val="0"/>
          <w:numId w:val="2"/>
        </w:numPr>
        <w:spacing w:after="70" w:line="282"/>
      </w:pPr>
      <w:r>
        <w:rPr>
          <w:rFonts w:ascii="Calibri" w:cs="Calibri" w:eastAsia="Calibri" w:hAnsi="Calibri"/>
          <w:color w:val="212529"/>
          <w:sz w:val="22"/>
          <w:szCs w:val="22"/>
        </w:rPr>
        <w:t xml:space="preserve">Internacionalización: soporte multi-idioma y multi-moneda.</w:t>
      </w:r>
    </w:p>
    <w:p>
      <w:pPr>
        <w:pBdr>
          <w:bottom w:val="single" w:color="D5DBDB" w:sz="6" w:space="6"/>
        </w:pBdr>
        <w:spacing w:after="120" w:before="340"/>
      </w:pPr>
      <w:r>
        <w:rPr>
          <w:rFonts w:ascii="Calibri" w:cs="Calibri" w:eastAsia="Calibri" w:hAnsi="Calibri"/>
          <w:b/>
          <w:bCs/>
          <w:color w:val="1F3A5F"/>
          <w:sz w:val="28"/>
          <w:szCs w:val="28"/>
        </w:rPr>
        <w:t xml:space="preserve">5. Stakeholders</w:t>
      </w:r>
    </w:p>
    <w:p>
      <w:pPr>
        <w:spacing w:after="120" w:line="288"/>
      </w:pPr>
      <w:r>
        <w:rPr>
          <w:rFonts w:ascii="Calibri" w:cs="Calibri" w:eastAsia="Calibri" w:hAnsi="Calibri"/>
          <w:color w:val="212529"/>
          <w:sz w:val="22"/>
          <w:szCs w:val="22"/>
        </w:rPr>
        <w:t xml:space="preserve">Los principales interesados en el proyecto y su participación se resumen en la siguiente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1F3A5F" w:val="clear"/>
            <w:tcMar>
              <w:top w:type="dxa" w:w="60"/>
              <w:left w:type="dxa" w:w="110"/>
              <w:bottom w:type="dxa" w:w="60"/>
              <w:right w:type="dxa" w:w="110"/>
            </w:tcMar>
          </w:tcPr>
          <w:p>
            <w:r>
              <w:rPr>
                <w:rFonts w:ascii="Calibri" w:cs="Calibri" w:eastAsia="Calibri" w:hAnsi="Calibri"/>
                <w:b/>
                <w:bCs/>
                <w:color w:val="FFFFFF"/>
                <w:sz w:val="20"/>
                <w:szCs w:val="20"/>
              </w:rPr>
              <w:t xml:space="preserve">Stakeholder</w:t>
            </w:r>
          </w:p>
        </w:tc>
        <w:tc>
          <w:tcPr>
            <w:tcW w:type="dxa" w:w="6260"/>
            <w:shd w:fill="1F3A5F" w:val="clear"/>
            <w:tcMar>
              <w:top w:type="dxa" w:w="60"/>
              <w:left w:type="dxa" w:w="110"/>
              <w:bottom w:type="dxa" w:w="60"/>
              <w:right w:type="dxa" w:w="110"/>
            </w:tcMar>
          </w:tcPr>
          <w:p>
            <w:r>
              <w:rPr>
                <w:rFonts w:ascii="Calibri" w:cs="Calibri" w:eastAsia="Calibri" w:hAnsi="Calibri"/>
                <w:b/>
                <w:bCs/>
                <w:color w:val="FFFFFF"/>
                <w:sz w:val="20"/>
                <w:szCs w:val="20"/>
              </w:rPr>
              <w:t xml:space="preserve">Participación</w:t>
            </w:r>
          </w:p>
        </w:tc>
      </w:tr>
      <w:tr>
        <w:tc>
          <w:tcPr>
            <w:tcW w:type="dxa" w:w="3100"/>
            <w:shd w:fill="FFFFFF" w:val="clear"/>
            <w:tcMar>
              <w:top w:type="dxa" w:w="60"/>
              <w:left w:type="dxa" w:w="110"/>
              <w:bottom w:type="dxa" w:w="60"/>
              <w:right w:type="dxa" w:w="110"/>
            </w:tcMar>
          </w:tcPr>
          <w:p>
            <w:r>
              <w:rPr>
                <w:rFonts w:ascii="Calibri" w:cs="Calibri" w:eastAsia="Calibri" w:hAnsi="Calibri"/>
                <w:b/>
                <w:bCs/>
                <w:color w:val="212529"/>
                <w:sz w:val="20"/>
                <w:szCs w:val="20"/>
              </w:rPr>
              <w:t xml:space="preserve">Cliente / Patrocinador</w:t>
            </w:r>
          </w:p>
        </w:tc>
        <w:tc>
          <w:tcPr>
            <w:tcW w:type="dxa" w:w="6260"/>
            <w:shd w:fill="FFFFFF" w:val="clear"/>
            <w:tcMar>
              <w:top w:type="dxa" w:w="60"/>
              <w:left w:type="dxa" w:w="110"/>
              <w:bottom w:type="dxa" w:w="60"/>
              <w:right w:type="dxa" w:w="110"/>
            </w:tcMar>
          </w:tcPr>
          <w:p>
            <w:r>
              <w:rPr>
                <w:rFonts w:ascii="Calibri" w:cs="Calibri" w:eastAsia="Calibri" w:hAnsi="Calibri"/>
                <w:color w:val="212529"/>
                <w:sz w:val="20"/>
                <w:szCs w:val="20"/>
              </w:rPr>
              <w:t xml:space="preserve">Define las necesidades y evalúa los resultados. En el contexto académico corresponde a los profesores de las asignaturas; en el de negocio, a los organizadores locales.</w:t>
            </w:r>
          </w:p>
        </w:tc>
      </w:tr>
      <w:tr>
        <w:tc>
          <w:tcPr>
            <w:tcW w:type="dxa" w:w="3100"/>
            <w:shd w:fill="EAF2F8" w:val="clear"/>
            <w:tcMar>
              <w:top w:type="dxa" w:w="60"/>
              <w:left w:type="dxa" w:w="110"/>
              <w:bottom w:type="dxa" w:w="60"/>
              <w:right w:type="dxa" w:w="110"/>
            </w:tcMar>
          </w:tcPr>
          <w:p>
            <w:r>
              <w:rPr>
                <w:rFonts w:ascii="Calibri" w:cs="Calibri" w:eastAsia="Calibri" w:hAnsi="Calibri"/>
                <w:b/>
                <w:bCs/>
                <w:color w:val="212529"/>
                <w:sz w:val="20"/>
                <w:szCs w:val="20"/>
              </w:rPr>
              <w:t xml:space="preserve">Organizador</w:t>
            </w:r>
          </w:p>
        </w:tc>
        <w:tc>
          <w:tcPr>
            <w:tcW w:type="dxa" w:w="6260"/>
            <w:shd w:fill="EAF2F8" w:val="clear"/>
            <w:tcMar>
              <w:top w:type="dxa" w:w="60"/>
              <w:left w:type="dxa" w:w="110"/>
              <w:bottom w:type="dxa" w:w="60"/>
              <w:right w:type="dxa" w:w="110"/>
            </w:tcMar>
          </w:tcPr>
          <w:p>
            <w:r>
              <w:rPr>
                <w:rFonts w:ascii="Calibri" w:cs="Calibri" w:eastAsia="Calibri" w:hAnsi="Calibri"/>
                <w:color w:val="212529"/>
                <w:sz w:val="20"/>
                <w:szCs w:val="20"/>
              </w:rPr>
              <w:t xml:space="preserve">Publica y gestiona sus eventos, boletos y aforo. Es también un usuario del sistema.</w:t>
            </w:r>
          </w:p>
        </w:tc>
      </w:tr>
      <w:tr>
        <w:tc>
          <w:tcPr>
            <w:tcW w:type="dxa" w:w="3100"/>
            <w:shd w:fill="FFFFFF" w:val="clear"/>
            <w:tcMar>
              <w:top w:type="dxa" w:w="60"/>
              <w:left w:type="dxa" w:w="110"/>
              <w:bottom w:type="dxa" w:w="60"/>
              <w:right w:type="dxa" w:w="110"/>
            </w:tcMar>
          </w:tcPr>
          <w:p>
            <w:r>
              <w:rPr>
                <w:rFonts w:ascii="Calibri" w:cs="Calibri" w:eastAsia="Calibri" w:hAnsi="Calibri"/>
                <w:b/>
                <w:bCs/>
                <w:color w:val="212529"/>
                <w:sz w:val="20"/>
                <w:szCs w:val="20"/>
              </w:rPr>
              <w:t xml:space="preserve">Usuario / Asistente</w:t>
            </w:r>
          </w:p>
        </w:tc>
        <w:tc>
          <w:tcPr>
            <w:tcW w:type="dxa" w:w="6260"/>
            <w:shd w:fill="FFFFFF" w:val="clear"/>
            <w:tcMar>
              <w:top w:type="dxa" w:w="60"/>
              <w:left w:type="dxa" w:w="110"/>
              <w:bottom w:type="dxa" w:w="60"/>
              <w:right w:type="dxa" w:w="110"/>
            </w:tcMar>
          </w:tcPr>
          <w:p>
            <w:r>
              <w:rPr>
                <w:rFonts w:ascii="Calibri" w:cs="Calibri" w:eastAsia="Calibri" w:hAnsi="Calibri"/>
                <w:color w:val="212529"/>
                <w:sz w:val="20"/>
                <w:szCs w:val="20"/>
              </w:rPr>
              <w:t xml:space="preserve">Utiliza el sistema para descubrir eventos, confirmar asistencia o comprar boletos y acceder con su código QR.</w:t>
            </w:r>
          </w:p>
        </w:tc>
      </w:tr>
      <w:tr>
        <w:tc>
          <w:tcPr>
            <w:tcW w:type="dxa" w:w="3100"/>
            <w:shd w:fill="EAF2F8" w:val="clear"/>
            <w:tcMar>
              <w:top w:type="dxa" w:w="60"/>
              <w:left w:type="dxa" w:w="110"/>
              <w:bottom w:type="dxa" w:w="60"/>
              <w:right w:type="dxa" w:w="110"/>
            </w:tcMar>
          </w:tcPr>
          <w:p>
            <w:r>
              <w:rPr>
                <w:rFonts w:ascii="Calibri" w:cs="Calibri" w:eastAsia="Calibri" w:hAnsi="Calibri"/>
                <w:b/>
                <w:bCs/>
                <w:color w:val="212529"/>
                <w:sz w:val="20"/>
                <w:szCs w:val="20"/>
              </w:rPr>
              <w:t xml:space="preserve">Equipo de desarrollo</w:t>
            </w:r>
          </w:p>
        </w:tc>
        <w:tc>
          <w:tcPr>
            <w:tcW w:type="dxa" w:w="6260"/>
            <w:shd w:fill="EAF2F8" w:val="clear"/>
            <w:tcMar>
              <w:top w:type="dxa" w:w="60"/>
              <w:left w:type="dxa" w:w="110"/>
              <w:bottom w:type="dxa" w:w="60"/>
              <w:right w:type="dxa" w:w="110"/>
            </w:tcMar>
          </w:tcPr>
          <w:p>
            <w:r>
              <w:rPr>
                <w:rFonts w:ascii="Calibri" w:cs="Calibri" w:eastAsia="Calibri" w:hAnsi="Calibri"/>
                <w:color w:val="212529"/>
                <w:sz w:val="20"/>
                <w:szCs w:val="20"/>
              </w:rPr>
              <w:t xml:space="preserve">Analiza, diseña, construye y prueba el sistema.</w:t>
            </w:r>
          </w:p>
        </w:tc>
      </w:tr>
      <w:tr>
        <w:tc>
          <w:tcPr>
            <w:tcW w:type="dxa" w:w="3100"/>
            <w:shd w:fill="FFFFFF" w:val="clear"/>
            <w:tcMar>
              <w:top w:type="dxa" w:w="60"/>
              <w:left w:type="dxa" w:w="110"/>
              <w:bottom w:type="dxa" w:w="60"/>
              <w:right w:type="dxa" w:w="110"/>
            </w:tcMar>
          </w:tcPr>
          <w:p>
            <w:r>
              <w:rPr>
                <w:rFonts w:ascii="Calibri" w:cs="Calibri" w:eastAsia="Calibri" w:hAnsi="Calibri"/>
                <w:b/>
                <w:bCs/>
                <w:color w:val="212529"/>
                <w:sz w:val="20"/>
                <w:szCs w:val="20"/>
              </w:rPr>
              <w:t xml:space="preserve">Administrador</w:t>
            </w:r>
          </w:p>
        </w:tc>
        <w:tc>
          <w:tcPr>
            <w:tcW w:type="dxa" w:w="6260"/>
            <w:shd w:fill="FFFFFF" w:val="clear"/>
            <w:tcMar>
              <w:top w:type="dxa" w:w="60"/>
              <w:left w:type="dxa" w:w="110"/>
              <w:bottom w:type="dxa" w:w="60"/>
              <w:right w:type="dxa" w:w="110"/>
            </w:tcMar>
          </w:tcPr>
          <w:p>
            <w:r>
              <w:rPr>
                <w:rFonts w:ascii="Calibri" w:cs="Calibri" w:eastAsia="Calibri" w:hAnsi="Calibri"/>
                <w:color w:val="212529"/>
                <w:sz w:val="20"/>
                <w:szCs w:val="20"/>
              </w:rPr>
              <w:t xml:space="preserve">Gestiona y supervisa la plataforma, los usuarios y los contenidos.</w:t>
            </w:r>
          </w:p>
        </w:tc>
      </w:tr>
      <w:tr>
        <w:tc>
          <w:tcPr>
            <w:tcW w:type="dxa" w:w="3100"/>
            <w:shd w:fill="EAF2F8" w:val="clear"/>
            <w:tcMar>
              <w:top w:type="dxa" w:w="60"/>
              <w:left w:type="dxa" w:w="110"/>
              <w:bottom w:type="dxa" w:w="60"/>
              <w:right w:type="dxa" w:w="110"/>
            </w:tcMar>
          </w:tcPr>
          <w:p>
            <w:r>
              <w:rPr>
                <w:rFonts w:ascii="Calibri" w:cs="Calibri" w:eastAsia="Calibri" w:hAnsi="Calibri"/>
                <w:b/>
                <w:bCs/>
                <w:color w:val="212529"/>
                <w:sz w:val="20"/>
                <w:szCs w:val="20"/>
              </w:rPr>
              <w:t xml:space="preserve">Proveedor de pasarela de pago</w:t>
            </w:r>
          </w:p>
        </w:tc>
        <w:tc>
          <w:tcPr>
            <w:tcW w:type="dxa" w:w="6260"/>
            <w:shd w:fill="EAF2F8" w:val="clear"/>
            <w:tcMar>
              <w:top w:type="dxa" w:w="60"/>
              <w:left w:type="dxa" w:w="110"/>
              <w:bottom w:type="dxa" w:w="60"/>
              <w:right w:type="dxa" w:w="110"/>
            </w:tcMar>
          </w:tcPr>
          <w:p>
            <w:r>
              <w:rPr>
                <w:rFonts w:ascii="Calibri" w:cs="Calibri" w:eastAsia="Calibri" w:hAnsi="Calibri"/>
                <w:color w:val="212529"/>
                <w:sz w:val="20"/>
                <w:szCs w:val="20"/>
              </w:rPr>
              <w:t xml:space="preserve">Servicio externo que procesa los pagos y realiza la dispersión de los fondos.</w:t>
            </w:r>
          </w:p>
        </w:tc>
      </w:tr>
    </w:tbl>
    <w:p>
      <w:pPr>
        <w:pBdr>
          <w:bottom w:val="single" w:color="D5DBDB" w:sz="6" w:space="6"/>
        </w:pBdr>
        <w:spacing w:after="120" w:before="340"/>
      </w:pPr>
      <w:r>
        <w:rPr>
          <w:rFonts w:ascii="Calibri" w:cs="Calibri" w:eastAsia="Calibri" w:hAnsi="Calibri"/>
          <w:b/>
          <w:bCs/>
          <w:color w:val="1F3A5F"/>
          <w:sz w:val="28"/>
          <w:szCs w:val="28"/>
        </w:rPr>
        <w:t xml:space="preserve">6. Usuarios y actores</w:t>
      </w:r>
    </w:p>
    <w:p>
      <w:pPr>
        <w:spacing w:after="120" w:line="288"/>
      </w:pPr>
      <w:r>
        <w:rPr>
          <w:rFonts w:ascii="Calibri" w:cs="Calibri" w:eastAsia="Calibri" w:hAnsi="Calibri"/>
          <w:color w:val="212529"/>
          <w:sz w:val="22"/>
          <w:szCs w:val="22"/>
        </w:rPr>
        <w:t xml:space="preserve">El sistema contempla los siguientes tipos de usuario. Un mismo usuario puede tener a la vez el rol de asistente y de organizador.</w:t>
      </w:r>
    </w:p>
    <w:p>
      <w:pPr>
        <w:pStyle w:val="ListParagraph"/>
        <w:numPr>
          <w:ilvl w:val="0"/>
          <w:numId w:val="2"/>
        </w:numPr>
        <w:spacing w:after="70" w:line="282"/>
      </w:pPr>
      <w:r>
        <w:rPr>
          <w:rFonts w:ascii="Calibri" w:cs="Calibri" w:eastAsia="Calibri" w:hAnsi="Calibri"/>
          <w:b/>
          <w:bCs/>
          <w:color w:val="212529"/>
          <w:sz w:val="22"/>
          <w:szCs w:val="22"/>
        </w:rPr>
        <w:t xml:space="preserve">Asistente: </w:t>
      </w:r>
      <w:r>
        <w:rPr>
          <w:rFonts w:ascii="Calibri" w:cs="Calibri" w:eastAsia="Calibri" w:hAnsi="Calibri"/>
          <w:color w:val="212529"/>
          <w:sz w:val="22"/>
          <w:szCs w:val="22"/>
        </w:rPr>
        <w:t xml:space="preserve">descubre eventos, confirma asistencia a eventos gratuitos, compra boletos, y recibe y presenta su boleto con código QR en el acceso.</w:t>
      </w:r>
    </w:p>
    <w:p>
      <w:pPr>
        <w:pStyle w:val="ListParagraph"/>
        <w:numPr>
          <w:ilvl w:val="0"/>
          <w:numId w:val="2"/>
        </w:numPr>
        <w:spacing w:after="70" w:line="282"/>
      </w:pPr>
      <w:r>
        <w:rPr>
          <w:rFonts w:ascii="Calibri" w:cs="Calibri" w:eastAsia="Calibri" w:hAnsi="Calibri"/>
          <w:b/>
          <w:bCs/>
          <w:color w:val="212529"/>
          <w:sz w:val="22"/>
          <w:szCs w:val="22"/>
        </w:rPr>
        <w:t xml:space="preserve">Organizador: </w:t>
      </w:r>
      <w:r>
        <w:rPr>
          <w:rFonts w:ascii="Calibri" w:cs="Calibri" w:eastAsia="Calibri" w:hAnsi="Calibri"/>
          <w:color w:val="212529"/>
          <w:sz w:val="22"/>
          <w:szCs w:val="22"/>
        </w:rPr>
        <w:t xml:space="preserve">crea, publica, edita y cancela eventos; define tipos de boleto, aforo y, cuando aplica, asientos; consulta reportes y designa personal de acceso.</w:t>
      </w:r>
    </w:p>
    <w:p>
      <w:pPr>
        <w:pStyle w:val="ListParagraph"/>
        <w:numPr>
          <w:ilvl w:val="0"/>
          <w:numId w:val="2"/>
        </w:numPr>
        <w:spacing w:after="70" w:line="282"/>
      </w:pPr>
      <w:r>
        <w:rPr>
          <w:rFonts w:ascii="Calibri" w:cs="Calibri" w:eastAsia="Calibri" w:hAnsi="Calibri"/>
          <w:b/>
          <w:bCs/>
          <w:color w:val="212529"/>
          <w:sz w:val="22"/>
          <w:szCs w:val="22"/>
        </w:rPr>
        <w:t xml:space="preserve">Personal de acceso (validador): </w:t>
      </w:r>
      <w:r>
        <w:rPr>
          <w:rFonts w:ascii="Calibri" w:cs="Calibri" w:eastAsia="Calibri" w:hAnsi="Calibri"/>
          <w:color w:val="212529"/>
          <w:sz w:val="22"/>
          <w:szCs w:val="22"/>
        </w:rPr>
        <w:t xml:space="preserve">escanea y valida los códigos QR en la entrada del evento, marcando cada boleto como usado.</w:t>
      </w:r>
    </w:p>
    <w:p>
      <w:pPr>
        <w:pStyle w:val="ListParagraph"/>
        <w:numPr>
          <w:ilvl w:val="0"/>
          <w:numId w:val="2"/>
        </w:numPr>
        <w:spacing w:after="70" w:line="282"/>
      </w:pPr>
      <w:r>
        <w:rPr>
          <w:rFonts w:ascii="Calibri" w:cs="Calibri" w:eastAsia="Calibri" w:hAnsi="Calibri"/>
          <w:b/>
          <w:bCs/>
          <w:color w:val="212529"/>
          <w:sz w:val="22"/>
          <w:szCs w:val="22"/>
        </w:rPr>
        <w:t xml:space="preserve">Administrador: </w:t>
      </w:r>
      <w:r>
        <w:rPr>
          <w:rFonts w:ascii="Calibri" w:cs="Calibri" w:eastAsia="Calibri" w:hAnsi="Calibri"/>
          <w:color w:val="212529"/>
          <w:sz w:val="22"/>
          <w:szCs w:val="22"/>
        </w:rPr>
        <w:t xml:space="preserve">gestiona usuarios, categorías y eventos reportados, y supervisa el funcionamiento general de la plataforma.</w:t>
      </w:r>
    </w:p>
    <w:p>
      <w:pPr>
        <w:pBdr>
          <w:bottom w:val="single" w:color="D5DBDB" w:sz="6" w:space="6"/>
        </w:pBdr>
        <w:spacing w:after="120" w:before="340"/>
      </w:pPr>
      <w:r>
        <w:rPr>
          <w:rFonts w:ascii="Calibri" w:cs="Calibri" w:eastAsia="Calibri" w:hAnsi="Calibri"/>
          <w:b/>
          <w:bCs/>
          <w:color w:val="1F3A5F"/>
          <w:sz w:val="28"/>
          <w:szCs w:val="28"/>
        </w:rPr>
        <w:t xml:space="preserve">7. Descripción general del producto</w:t>
      </w:r>
    </w:p>
    <w:p>
      <w:pPr>
        <w:spacing w:after="120" w:line="288"/>
      </w:pPr>
      <w:r>
        <w:rPr>
          <w:rFonts w:ascii="Calibri" w:cs="Calibri" w:eastAsia="Calibri" w:hAnsi="Calibri"/>
          <w:color w:val="212529"/>
          <w:sz w:val="22"/>
          <w:szCs w:val="22"/>
        </w:rPr>
        <w:t xml:space="preserve">EnZona es una aplicación web compuesta por una interfaz de usuario desarrollada en React con Vite (aplicación de página única) que consume una API REST construida con Spring Boot, la cual persiste la información en una base de datos PostgreSQL. La autenticación es sin estado, basada en tokens JWT, con contraseñas cifradas.</w:t>
      </w:r>
    </w:p>
    <w:p>
      <w:pPr>
        <w:spacing w:after="120" w:line="288"/>
      </w:pPr>
      <w:r>
        <w:rPr>
          <w:rFonts w:ascii="Calibri" w:cs="Calibri" w:eastAsia="Calibri" w:hAnsi="Calibri"/>
          <w:color w:val="212529"/>
          <w:sz w:val="22"/>
          <w:szCs w:val="22"/>
        </w:rPr>
        <w:t xml:space="preserve">A alto nivel, el flujo es el siguiente: el organizador se registra y publica un evento indicando nombre, lugar, tipo, fecha y hora, y si es gratuito o de pago. Los asistentes descubren el evento en la página principal y, según el tipo, confirman su asistencia o compran su boleto a través de la pasarela de pago externa. El sistema genera un boleto electrónico firmado y de un solo uso que se envía por correo y se representa mediante un código QR. El día del evento, el personal de acceso valida cada código QR, que solo puede utilizarse una vez, con capacidad de operar incluso sin conexión y sincronizar posteriormente. El backend se organiza en módulos de dominio (autenticación, usuarios, eventos, boletos, pagos, validación de acceso y notificaciones) sobre una arquitectura por capas.</w:t>
      </w:r>
    </w:p>
    <w:p>
      <w:pPr>
        <w:pBdr>
          <w:bottom w:val="single" w:color="D5DBDB" w:sz="6" w:space="6"/>
        </w:pBdr>
        <w:spacing w:after="120" w:before="340"/>
      </w:pPr>
      <w:r>
        <w:rPr>
          <w:rFonts w:ascii="Calibri" w:cs="Calibri" w:eastAsia="Calibri" w:hAnsi="Calibri"/>
          <w:b/>
          <w:bCs/>
          <w:color w:val="1F3A5F"/>
          <w:sz w:val="28"/>
          <w:szCs w:val="28"/>
        </w:rPr>
        <w:t xml:space="preserve">8. Restricciones</w:t>
      </w:r>
    </w:p>
    <w:p>
      <w:pPr>
        <w:pStyle w:val="ListParagraph"/>
        <w:numPr>
          <w:ilvl w:val="0"/>
          <w:numId w:val="2"/>
        </w:numPr>
        <w:spacing w:after="70" w:line="282"/>
      </w:pPr>
      <w:r>
        <w:rPr>
          <w:rFonts w:ascii="Calibri" w:cs="Calibri" w:eastAsia="Calibri" w:hAnsi="Calibri"/>
          <w:b/>
          <w:bCs/>
          <w:color w:val="212529"/>
          <w:sz w:val="22"/>
          <w:szCs w:val="22"/>
        </w:rPr>
        <w:t xml:space="preserve">Tecnologías obligatorias: </w:t>
      </w:r>
      <w:r>
        <w:rPr>
          <w:rFonts w:ascii="Calibri" w:cs="Calibri" w:eastAsia="Calibri" w:hAnsi="Calibri"/>
          <w:color w:val="212529"/>
          <w:sz w:val="22"/>
          <w:szCs w:val="22"/>
        </w:rPr>
        <w:t xml:space="preserve">por decisión del equipo, el sistema se construirá con React + Vite, Java con Spring Boot y PostgreSQL. Se recomienda estandarizar en PostgreSQL 15, dado que la versión 11 ha llegado a su fin de vida.</w:t>
      </w:r>
    </w:p>
    <w:p>
      <w:pPr>
        <w:pStyle w:val="ListParagraph"/>
        <w:numPr>
          <w:ilvl w:val="0"/>
          <w:numId w:val="2"/>
        </w:numPr>
        <w:spacing w:after="70" w:line="282"/>
      </w:pPr>
      <w:r>
        <w:rPr>
          <w:rFonts w:ascii="Calibri" w:cs="Calibri" w:eastAsia="Calibri" w:hAnsi="Calibri"/>
          <w:b/>
          <w:bCs/>
          <w:color w:val="212529"/>
          <w:sz w:val="22"/>
          <w:szCs w:val="22"/>
        </w:rPr>
        <w:t xml:space="preserve">Tiempo: </w:t>
      </w:r>
      <w:r>
        <w:rPr>
          <w:rFonts w:ascii="Calibri" w:cs="Calibri" w:eastAsia="Calibri" w:hAnsi="Calibri"/>
          <w:color w:val="212529"/>
          <w:sz w:val="22"/>
          <w:szCs w:val="22"/>
        </w:rPr>
        <w:t xml:space="preserve">el desarrollo se limita a la duración del semestre, organizado en iteraciones e incrementos.</w:t>
      </w:r>
    </w:p>
    <w:p>
      <w:pPr>
        <w:pStyle w:val="ListParagraph"/>
        <w:numPr>
          <w:ilvl w:val="0"/>
          <w:numId w:val="2"/>
        </w:numPr>
        <w:spacing w:after="70" w:line="282"/>
      </w:pPr>
      <w:r>
        <w:rPr>
          <w:rFonts w:ascii="Calibri" w:cs="Calibri" w:eastAsia="Calibri" w:hAnsi="Calibri"/>
          <w:b/>
          <w:bCs/>
          <w:color w:val="212529"/>
          <w:sz w:val="22"/>
          <w:szCs w:val="22"/>
        </w:rPr>
        <w:t xml:space="preserve">Presupuesto: </w:t>
      </w:r>
      <w:r>
        <w:rPr>
          <w:rFonts w:ascii="Calibri" w:cs="Calibri" w:eastAsia="Calibri" w:hAnsi="Calibri"/>
          <w:color w:val="212529"/>
          <w:sz w:val="22"/>
          <w:szCs w:val="22"/>
        </w:rPr>
        <w:t xml:space="preserve">recursos limitados; se emplearán herramientas de código abierto y servicios en sus planes gratuitos.</w:t>
      </w:r>
    </w:p>
    <w:p>
      <w:pPr>
        <w:pStyle w:val="ListParagraph"/>
        <w:numPr>
          <w:ilvl w:val="0"/>
          <w:numId w:val="2"/>
        </w:numPr>
        <w:spacing w:after="70" w:line="282"/>
      </w:pPr>
      <w:r>
        <w:rPr>
          <w:rFonts w:ascii="Calibri" w:cs="Calibri" w:eastAsia="Calibri" w:hAnsi="Calibri"/>
          <w:b/>
          <w:bCs/>
          <w:color w:val="212529"/>
          <w:sz w:val="22"/>
          <w:szCs w:val="22"/>
        </w:rPr>
        <w:t xml:space="preserve">Hardware: </w:t>
      </w:r>
      <w:r>
        <w:rPr>
          <w:rFonts w:ascii="Calibri" w:cs="Calibri" w:eastAsia="Calibri" w:hAnsi="Calibri"/>
          <w:color w:val="212529"/>
          <w:sz w:val="22"/>
          <w:szCs w:val="22"/>
        </w:rPr>
        <w:t xml:space="preserve">se utilizarán los equipos personales del equipo y un entorno de despliegue básico.</w:t>
      </w:r>
    </w:p>
    <w:p>
      <w:pPr>
        <w:pStyle w:val="ListParagraph"/>
        <w:numPr>
          <w:ilvl w:val="0"/>
          <w:numId w:val="2"/>
        </w:numPr>
        <w:spacing w:after="70" w:line="282"/>
      </w:pPr>
      <w:r>
        <w:rPr>
          <w:rFonts w:ascii="Calibri" w:cs="Calibri" w:eastAsia="Calibri" w:hAnsi="Calibri"/>
          <w:b/>
          <w:bCs/>
          <w:color w:val="212529"/>
          <w:sz w:val="22"/>
          <w:szCs w:val="22"/>
        </w:rPr>
        <w:t xml:space="preserve">Sistemas existentes: </w:t>
      </w:r>
      <w:r>
        <w:rPr>
          <w:rFonts w:ascii="Calibri" w:cs="Calibri" w:eastAsia="Calibri" w:hAnsi="Calibri"/>
          <w:color w:val="212529"/>
          <w:sz w:val="22"/>
          <w:szCs w:val="22"/>
        </w:rPr>
        <w:t xml:space="preserve">el sistema depende de una pasarela de pago y de un servicio de envío de correo externos.</w:t>
      </w:r>
    </w:p>
    <w:p>
      <w:pPr>
        <w:pStyle w:val="ListParagraph"/>
        <w:numPr>
          <w:ilvl w:val="0"/>
          <w:numId w:val="2"/>
        </w:numPr>
        <w:spacing w:after="70" w:line="282"/>
      </w:pPr>
      <w:r>
        <w:rPr>
          <w:rFonts w:ascii="Calibri" w:cs="Calibri" w:eastAsia="Calibri" w:hAnsi="Calibri"/>
          <w:b/>
          <w:bCs/>
          <w:color w:val="212529"/>
          <w:sz w:val="22"/>
          <w:szCs w:val="22"/>
        </w:rPr>
        <w:t xml:space="preserve">Legislación y políticas: </w:t>
      </w:r>
      <w:r>
        <w:rPr>
          <w:rFonts w:ascii="Calibri" w:cs="Calibri" w:eastAsia="Calibri" w:hAnsi="Calibri"/>
          <w:color w:val="212529"/>
          <w:sz w:val="22"/>
          <w:szCs w:val="22"/>
        </w:rPr>
        <w:t xml:space="preserve">cumplimiento de la Ley Federal de Protección de Datos Personales en Posesión de los Particulares (LFPDPPP) y de las disposiciones de Profeco sobre transparencia de precios y prohibición de tarifas dinámicas.</w:t>
      </w:r>
    </w:p>
    <w:p>
      <w:pPr>
        <w:pBdr>
          <w:bottom w:val="single" w:color="D5DBDB" w:sz="6" w:space="6"/>
        </w:pBdr>
        <w:spacing w:after="120" w:before="340"/>
      </w:pPr>
      <w:r>
        <w:rPr>
          <w:rFonts w:ascii="Calibri" w:cs="Calibri" w:eastAsia="Calibri" w:hAnsi="Calibri"/>
          <w:b/>
          <w:bCs/>
          <w:color w:val="1F3A5F"/>
          <w:sz w:val="28"/>
          <w:szCs w:val="28"/>
        </w:rPr>
        <w:t xml:space="preserve">9. Supuestos y dependencias</w:t>
      </w:r>
    </w:p>
    <w:p>
      <w:pPr>
        <w:pStyle w:val="ListParagraph"/>
        <w:numPr>
          <w:ilvl w:val="0"/>
          <w:numId w:val="2"/>
        </w:numPr>
        <w:spacing w:after="70" w:line="282"/>
      </w:pPr>
      <w:r>
        <w:rPr>
          <w:rFonts w:ascii="Calibri" w:cs="Calibri" w:eastAsia="Calibri" w:hAnsi="Calibri"/>
          <w:color w:val="212529"/>
          <w:sz w:val="22"/>
          <w:szCs w:val="22"/>
        </w:rPr>
        <w:t xml:space="preserve">Se asume que los usuarios y el personal de acceso cuentan con acceso a Internet; para la validación en puerta se contempla un modo sin conexión como medida de contingencia.</w:t>
      </w:r>
    </w:p>
    <w:p>
      <w:pPr>
        <w:pStyle w:val="ListParagraph"/>
        <w:numPr>
          <w:ilvl w:val="0"/>
          <w:numId w:val="2"/>
        </w:numPr>
        <w:spacing w:after="70" w:line="282"/>
      </w:pPr>
      <w:r>
        <w:rPr>
          <w:rFonts w:ascii="Calibri" w:cs="Calibri" w:eastAsia="Calibri" w:hAnsi="Calibri"/>
          <w:color w:val="212529"/>
          <w:sz w:val="22"/>
          <w:szCs w:val="22"/>
        </w:rPr>
        <w:t xml:space="preserve">Se asume que los usuarios disponen de un correo válido y, opcionalmente, de un teléfono para la verificación por código.</w:t>
      </w:r>
    </w:p>
    <w:p>
      <w:pPr>
        <w:pStyle w:val="ListParagraph"/>
        <w:numPr>
          <w:ilvl w:val="0"/>
          <w:numId w:val="2"/>
        </w:numPr>
        <w:spacing w:after="70" w:line="282"/>
      </w:pPr>
      <w:r>
        <w:rPr>
          <w:rFonts w:ascii="Calibri" w:cs="Calibri" w:eastAsia="Calibri" w:hAnsi="Calibri"/>
          <w:color w:val="212529"/>
          <w:sz w:val="22"/>
          <w:szCs w:val="22"/>
        </w:rPr>
        <w:t xml:space="preserve">El sistema depende de un proveedor externo de pagos y de un servicio de envío de correo transaccional.</w:t>
      </w:r>
    </w:p>
    <w:p>
      <w:pPr>
        <w:pStyle w:val="ListParagraph"/>
        <w:numPr>
          <w:ilvl w:val="0"/>
          <w:numId w:val="2"/>
        </w:numPr>
        <w:spacing w:after="70" w:line="282"/>
      </w:pPr>
      <w:r>
        <w:rPr>
          <w:rFonts w:ascii="Calibri" w:cs="Calibri" w:eastAsia="Calibri" w:hAnsi="Calibri"/>
          <w:color w:val="212529"/>
          <w:sz w:val="22"/>
          <w:szCs w:val="22"/>
        </w:rPr>
        <w:t xml:space="preserve">Se asume que los organizadores proporcionan información veraz sobre sus eventos.</w:t>
      </w:r>
    </w:p>
    <w:p>
      <w:pPr>
        <w:pStyle w:val="ListParagraph"/>
        <w:numPr>
          <w:ilvl w:val="0"/>
          <w:numId w:val="2"/>
        </w:numPr>
        <w:spacing w:after="70" w:line="282"/>
      </w:pPr>
      <w:r>
        <w:rPr>
          <w:rFonts w:ascii="Calibri" w:cs="Calibri" w:eastAsia="Calibri" w:hAnsi="Calibri"/>
          <w:color w:val="212529"/>
          <w:sz w:val="22"/>
          <w:szCs w:val="22"/>
        </w:rPr>
        <w:t xml:space="preserve">La disponibilidad del equipo está sujeta al calendario académico.</w:t>
      </w:r>
    </w:p>
    <w:p>
      <w:pPr>
        <w:pStyle w:val="ListParagraph"/>
        <w:numPr>
          <w:ilvl w:val="0"/>
          <w:numId w:val="2"/>
        </w:numPr>
        <w:spacing w:after="70" w:line="282"/>
      </w:pPr>
      <w:r>
        <w:rPr>
          <w:rFonts w:ascii="Calibri" w:cs="Calibri" w:eastAsia="Calibri" w:hAnsi="Calibri"/>
          <w:color w:val="212529"/>
          <w:sz w:val="22"/>
          <w:szCs w:val="22"/>
        </w:rPr>
        <w:t xml:space="preserve">La verificación de identidad podrá depender, en una fase posterior, de un servicio externo de validación de CURP.</w:t>
      </w:r>
    </w:p>
    <w:p>
      <w:pPr>
        <w:pBdr>
          <w:bottom w:val="single" w:color="D5DBDB" w:sz="6" w:space="6"/>
        </w:pBdr>
        <w:spacing w:after="120" w:before="340"/>
      </w:pPr>
      <w:r>
        <w:rPr>
          <w:rFonts w:ascii="Calibri" w:cs="Calibri" w:eastAsia="Calibri" w:hAnsi="Calibri"/>
          <w:b/>
          <w:bCs/>
          <w:color w:val="1F3A5F"/>
          <w:sz w:val="28"/>
          <w:szCs w:val="28"/>
        </w:rPr>
        <w:t xml:space="preserve">10. Riesgos iniciales</w:t>
      </w:r>
    </w:p>
    <w:p>
      <w:pPr>
        <w:spacing w:after="120" w:line="288"/>
      </w:pPr>
      <w:r>
        <w:rPr>
          <w:rFonts w:ascii="Calibri" w:cs="Calibri" w:eastAsia="Calibri" w:hAnsi="Calibri"/>
          <w:color w:val="212529"/>
          <w:sz w:val="22"/>
          <w:szCs w:val="22"/>
        </w:rPr>
        <w:t xml:space="preserve">Se identifican los principales riesgos, sin un análisis profundo en esta etapa:</w:t>
      </w:r>
    </w:p>
    <w:p>
      <w:pPr>
        <w:pStyle w:val="ListParagraph"/>
        <w:numPr>
          <w:ilvl w:val="0"/>
          <w:numId w:val="2"/>
        </w:numPr>
        <w:spacing w:after="70" w:line="282"/>
      </w:pPr>
      <w:r>
        <w:rPr>
          <w:rFonts w:ascii="Calibri" w:cs="Calibri" w:eastAsia="Calibri" w:hAnsi="Calibri"/>
          <w:color w:val="212529"/>
          <w:sz w:val="22"/>
          <w:szCs w:val="22"/>
        </w:rPr>
        <w:t xml:space="preserve">Cambios de requisitos durante el desarrollo.</w:t>
      </w:r>
    </w:p>
    <w:p>
      <w:pPr>
        <w:pStyle w:val="ListParagraph"/>
        <w:numPr>
          <w:ilvl w:val="0"/>
          <w:numId w:val="2"/>
        </w:numPr>
        <w:spacing w:after="70" w:line="282"/>
      </w:pPr>
      <w:r>
        <w:rPr>
          <w:rFonts w:ascii="Calibri" w:cs="Calibri" w:eastAsia="Calibri" w:hAnsi="Calibri"/>
          <w:color w:val="212529"/>
          <w:sz w:val="22"/>
          <w:szCs w:val="22"/>
        </w:rPr>
        <w:t xml:space="preserve">Complejidad e integración de la pasarela de pago (riesgo técnico y de tiempo).</w:t>
      </w:r>
    </w:p>
    <w:p>
      <w:pPr>
        <w:pStyle w:val="ListParagraph"/>
        <w:numPr>
          <w:ilvl w:val="0"/>
          <w:numId w:val="2"/>
        </w:numPr>
        <w:spacing w:after="70" w:line="282"/>
      </w:pPr>
      <w:r>
        <w:rPr>
          <w:rFonts w:ascii="Calibri" w:cs="Calibri" w:eastAsia="Calibri" w:hAnsi="Calibri"/>
          <w:color w:val="212529"/>
          <w:sz w:val="22"/>
          <w:szCs w:val="22"/>
        </w:rPr>
        <w:t xml:space="preserve">Control de concurrencia para evitar la sobreventa del aforo.</w:t>
      </w:r>
    </w:p>
    <w:p>
      <w:pPr>
        <w:pStyle w:val="ListParagraph"/>
        <w:numPr>
          <w:ilvl w:val="0"/>
          <w:numId w:val="2"/>
        </w:numPr>
        <w:spacing w:after="70" w:line="282"/>
      </w:pPr>
      <w:r>
        <w:rPr>
          <w:rFonts w:ascii="Calibri" w:cs="Calibri" w:eastAsia="Calibri" w:hAnsi="Calibri"/>
          <w:color w:val="212529"/>
          <w:sz w:val="22"/>
          <w:szCs w:val="22"/>
        </w:rPr>
        <w:t xml:space="preserve">Fraude o duplicación de boletos.</w:t>
      </w:r>
    </w:p>
    <w:p>
      <w:pPr>
        <w:pStyle w:val="ListParagraph"/>
        <w:numPr>
          <w:ilvl w:val="0"/>
          <w:numId w:val="2"/>
        </w:numPr>
        <w:spacing w:after="70" w:line="282"/>
      </w:pPr>
      <w:r>
        <w:rPr>
          <w:rFonts w:ascii="Calibri" w:cs="Calibri" w:eastAsia="Calibri" w:hAnsi="Calibri"/>
          <w:color w:val="212529"/>
          <w:sz w:val="22"/>
          <w:szCs w:val="22"/>
        </w:rPr>
        <w:t xml:space="preserve">Indisponibilidad de dependencias externas (pagos, correo).</w:t>
      </w:r>
    </w:p>
    <w:p>
      <w:pPr>
        <w:pStyle w:val="ListParagraph"/>
        <w:numPr>
          <w:ilvl w:val="0"/>
          <w:numId w:val="2"/>
        </w:numPr>
        <w:spacing w:after="70" w:line="282"/>
      </w:pPr>
      <w:r>
        <w:rPr>
          <w:rFonts w:ascii="Calibri" w:cs="Calibri" w:eastAsia="Calibri" w:hAnsi="Calibri"/>
          <w:color w:val="212529"/>
          <w:sz w:val="22"/>
          <w:szCs w:val="22"/>
        </w:rPr>
        <w:t xml:space="preserve">Cumplimiento de la normatividad de datos personales y de precios.</w:t>
      </w:r>
    </w:p>
    <w:p>
      <w:pPr>
        <w:pStyle w:val="ListParagraph"/>
        <w:numPr>
          <w:ilvl w:val="0"/>
          <w:numId w:val="2"/>
        </w:numPr>
        <w:spacing w:after="70" w:line="282"/>
      </w:pPr>
      <w:r>
        <w:rPr>
          <w:rFonts w:ascii="Calibri" w:cs="Calibri" w:eastAsia="Calibri" w:hAnsi="Calibri"/>
          <w:color w:val="212529"/>
          <w:sz w:val="22"/>
          <w:szCs w:val="22"/>
        </w:rPr>
        <w:t xml:space="preserve">Disponibilidad del equipo por la carga académica y curva de aprendizaje de las integraciones.</w:t>
      </w:r>
    </w:p>
    <w:p>
      <w:pPr>
        <w:pBdr>
          <w:bottom w:val="single" w:color="D5DBDB" w:sz="6" w:space="6"/>
        </w:pBdr>
        <w:spacing w:after="120" w:before="340"/>
      </w:pPr>
      <w:r>
        <w:rPr>
          <w:rFonts w:ascii="Calibri" w:cs="Calibri" w:eastAsia="Calibri" w:hAnsi="Calibri"/>
          <w:b/>
          <w:bCs/>
          <w:color w:val="1F3A5F"/>
          <w:sz w:val="28"/>
          <w:szCs w:val="28"/>
        </w:rPr>
        <w:t xml:space="preserve">11. Criterios de éxito</w:t>
      </w:r>
    </w:p>
    <w:p>
      <w:pPr>
        <w:spacing w:after="120" w:line="288"/>
      </w:pPr>
      <w:r>
        <w:rPr>
          <w:rFonts w:ascii="Calibri" w:cs="Calibri" w:eastAsia="Calibri" w:hAnsi="Calibri"/>
          <w:color w:val="212529"/>
          <w:sz w:val="22"/>
          <w:szCs w:val="22"/>
        </w:rPr>
        <w:t xml:space="preserve">El proyecto se considerará exitoso si se cumplen los siguientes criterios:</w:t>
      </w:r>
    </w:p>
    <w:p>
      <w:pPr>
        <w:pStyle w:val="ListParagraph"/>
        <w:numPr>
          <w:ilvl w:val="0"/>
          <w:numId w:val="2"/>
        </w:numPr>
        <w:spacing w:after="70" w:line="282"/>
      </w:pPr>
      <w:r>
        <w:rPr>
          <w:rFonts w:ascii="Calibri" w:cs="Calibri" w:eastAsia="Calibri" w:hAnsi="Calibri"/>
          <w:color w:val="212529"/>
          <w:sz w:val="22"/>
          <w:szCs w:val="22"/>
        </w:rPr>
        <w:t xml:space="preserve">Un usuario puede registrarse, verificar su identidad e iniciar sesión de forma segura.</w:t>
      </w:r>
    </w:p>
    <w:p>
      <w:pPr>
        <w:pStyle w:val="ListParagraph"/>
        <w:numPr>
          <w:ilvl w:val="0"/>
          <w:numId w:val="2"/>
        </w:numPr>
        <w:spacing w:after="70" w:line="282"/>
      </w:pPr>
      <w:r>
        <w:rPr>
          <w:rFonts w:ascii="Calibri" w:cs="Calibri" w:eastAsia="Calibri" w:hAnsi="Calibri"/>
          <w:color w:val="212529"/>
          <w:sz w:val="22"/>
          <w:szCs w:val="22"/>
        </w:rPr>
        <w:t xml:space="preserve">Un organizador puede publicar y gestionar un evento —gratuito o de pago— de principio a fin.</w:t>
      </w:r>
    </w:p>
    <w:p>
      <w:pPr>
        <w:pStyle w:val="ListParagraph"/>
        <w:numPr>
          <w:ilvl w:val="0"/>
          <w:numId w:val="2"/>
        </w:numPr>
        <w:spacing w:after="70" w:line="282"/>
      </w:pPr>
      <w:r>
        <w:rPr>
          <w:rFonts w:ascii="Calibri" w:cs="Calibri" w:eastAsia="Calibri" w:hAnsi="Calibri"/>
          <w:color w:val="212529"/>
          <w:sz w:val="22"/>
          <w:szCs w:val="22"/>
        </w:rPr>
        <w:t xml:space="preserve">Un asistente puede descubrir un evento, obtener su boleto o confirmación y acceder validando su código QR una sola vez.</w:t>
      </w:r>
    </w:p>
    <w:p>
      <w:pPr>
        <w:pStyle w:val="ListParagraph"/>
        <w:numPr>
          <w:ilvl w:val="0"/>
          <w:numId w:val="2"/>
        </w:numPr>
        <w:spacing w:after="70" w:line="282"/>
      </w:pPr>
      <w:r>
        <w:rPr>
          <w:rFonts w:ascii="Calibri" w:cs="Calibri" w:eastAsia="Calibri" w:hAnsi="Calibri"/>
          <w:color w:val="212529"/>
          <w:sz w:val="22"/>
          <w:szCs w:val="22"/>
        </w:rPr>
        <w:t xml:space="preserve">El sistema controla el aforo sin permitir sobreventa.</w:t>
      </w:r>
    </w:p>
    <w:p>
      <w:pPr>
        <w:pStyle w:val="ListParagraph"/>
        <w:numPr>
          <w:ilvl w:val="0"/>
          <w:numId w:val="2"/>
        </w:numPr>
        <w:spacing w:after="70" w:line="282"/>
      </w:pPr>
      <w:r>
        <w:rPr>
          <w:rFonts w:ascii="Calibri" w:cs="Calibri" w:eastAsia="Calibri" w:hAnsi="Calibri"/>
          <w:color w:val="212529"/>
          <w:sz w:val="22"/>
          <w:szCs w:val="22"/>
        </w:rPr>
        <w:t xml:space="preserve">Los boletos de pago se procesan a través de la pasarela y se emite un boleto firmado y de un solo uso.</w:t>
      </w:r>
    </w:p>
    <w:p>
      <w:pPr>
        <w:pStyle w:val="ListParagraph"/>
        <w:numPr>
          <w:ilvl w:val="0"/>
          <w:numId w:val="2"/>
        </w:numPr>
        <w:spacing w:after="70" w:line="282"/>
      </w:pPr>
      <w:r>
        <w:rPr>
          <w:rFonts w:ascii="Calibri" w:cs="Calibri" w:eastAsia="Calibri" w:hAnsi="Calibri"/>
          <w:color w:val="212529"/>
          <w:sz w:val="22"/>
          <w:szCs w:val="22"/>
        </w:rPr>
        <w:t xml:space="preserve">El proceso completo de gestión y acceso a un evento se realiza de forma totalmente digital.</w:t>
      </w:r>
    </w:p>
    <w:p>
      <w:pPr>
        <w:pStyle w:val="ListParagraph"/>
        <w:numPr>
          <w:ilvl w:val="0"/>
          <w:numId w:val="2"/>
        </w:numPr>
        <w:spacing w:after="70" w:line="282"/>
      </w:pPr>
      <w:r>
        <w:rPr>
          <w:rFonts w:ascii="Calibri" w:cs="Calibri" w:eastAsia="Calibri" w:hAnsi="Calibri"/>
          <w:color w:val="212529"/>
          <w:sz w:val="22"/>
          <w:szCs w:val="22"/>
        </w:rPr>
        <w:t xml:space="preserve">El sistema supera el conjunto de pruebas definidas (unitarias, de integración y de aceptación).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DB" w:sz="6" w:space="6"/>
      </w:pBdr>
      <w:tabs>
        <w:tab w:val="right" w:pos="9026"/>
      </w:tabs>
    </w:pPr>
    <w:r>
      <w:rPr>
        <w:rFonts w:ascii="Calibri" w:cs="Calibri" w:eastAsia="Calibri" w:hAnsi="Calibri"/>
        <w:color w:val="5D6D7E"/>
        <w:sz w:val="16"/>
        <w:szCs w:val="16"/>
      </w:rPr>
      <w:t xml:space="preserve">Visión y Alcance · EnZona</w:t>
    </w:r>
    <w:r>
      <w:rPr>
        <w:sz w:val="16"/>
        <w:szCs w:val="16"/>
      </w:rPr>
      <w:t xml:space="preserve">	</w:t>
    </w:r>
    <w:r>
      <w:rPr>
        <w:rFonts w:ascii="Calibri" w:cs="Calibri" w:eastAsia="Calibri" w:hAnsi="Calibri"/>
        <w:color w:val="5D6D7E"/>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Visión y Alcance - EnZona</dc:title>
  <dc:creator>Equipo de desarrollo</dc:creator>
  <cp:lastModifiedBy>Un-named</cp:lastModifiedBy>
  <cp:revision>1</cp:revision>
  <dcterms:created xsi:type="dcterms:W3CDTF">2026-08-25T01:52:15.844Z</dcterms:created>
  <dcterms:modified xsi:type="dcterms:W3CDTF">2026-08-25T01:52:15.857Z</dcterms:modified>
</cp:coreProperties>
</file>

<file path=docProps/custom.xml><?xml version="1.0" encoding="utf-8"?>
<Properties xmlns="http://schemas.openxmlformats.org/officeDocument/2006/custom-properties" xmlns:vt="http://schemas.openxmlformats.org/officeDocument/2006/docPropsVTypes"/>
</file>