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36"/>
        </w:rPr>
        <w:t>云岭科技有限公司 固定资产管理办法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（版本 V2.1，自 2026 年 3 月 15 日起施行）</w:t>
      </w:r>
    </w:p>
    <w:p>
      <w:r>
        <w:rPr>
          <w:rFonts w:ascii="微软雅黑" w:hAnsi="微软雅黑" w:eastAsia="微软雅黑"/>
          <w:b/>
          <w:color w:val="1F3B73"/>
          <w:sz w:val="28"/>
        </w:rPr>
        <w:t>一、固定资产定义与分类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固定资产指使用年限在两年以上、单位价值在 2000 元（含）以上的资产，包括：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1. 电子设备：电脑、显示器、打印机、投影仪、服务器、网络设备；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2. 办公家具：工位桌椅、文件柜、会议桌椅、保险柜；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3. 其他设备：空调、冰箱、饮水机、门禁设备、监控设备。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单价不足 2000 元但使用年限较长的低值易耗品，按低值易耗品登记台账管理。</w:t>
      </w:r>
    </w:p>
    <w:p>
      <w:r>
        <w:rPr>
          <w:rFonts w:ascii="微软雅黑" w:hAnsi="微软雅黑" w:eastAsia="微软雅黑"/>
          <w:b/>
          <w:color w:val="1F3B73"/>
          <w:sz w:val="28"/>
        </w:rPr>
        <w:t>二、固定资产领用流程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员工领用固定资产须通过 OA 系统提交《固定资产领用申请》，写明资产名称、规格、用途；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部门负责人审批后，由行政部资产管理员发放并登记《固定资产台账》，领用人在领用单上签字确认；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同一部门集中领用批量设备的，可由部门指定专人统一办理。</w:t>
      </w:r>
    </w:p>
    <w:p>
      <w:r>
        <w:rPr>
          <w:rFonts w:ascii="微软雅黑" w:hAnsi="微软雅黑" w:eastAsia="微软雅黑"/>
          <w:b/>
          <w:color w:val="1F3B73"/>
          <w:sz w:val="28"/>
        </w:rPr>
        <w:t>三、日常使用与借用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领用人对本人使用的固定资产负保管责任，不得私自调换、转借他人；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临时借用他人物品或公共设备（如会议室投影仪），须在行政部办理借用登记，用后当日归还；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设备出现故障时，向行政部报修，不得私自拆卸维修；维修费用在 500 元以内的由行政部直接安排，超过 500 元的须报财务部审批。</w:t>
      </w:r>
    </w:p>
    <w:p>
      <w:r>
        <w:rPr>
          <w:rFonts w:ascii="微软雅黑" w:hAnsi="微软雅黑" w:eastAsia="微软雅黑"/>
          <w:b/>
          <w:color w:val="1F3B73"/>
          <w:sz w:val="28"/>
        </w:rPr>
        <w:t>四、归还与移交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员工离职、调岗或长期外派时，须在 3 个工作日内将名下固定资产交回行政部；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调岗员工使用的资产确需随人移转的，由原部门与接收部门双方在台账上签字确认移交。</w:t>
      </w:r>
    </w:p>
    <w:p>
      <w:r>
        <w:rPr>
          <w:rFonts w:ascii="微软雅黑" w:hAnsi="微软雅黑" w:eastAsia="微软雅黑"/>
          <w:b/>
          <w:color w:val="1F3B73"/>
          <w:sz w:val="28"/>
        </w:rPr>
        <w:t>五、报废与盘点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固定资产达到使用年限或损坏无法修复的，由使用部门提交《资产报废申请》，行政部核实后报总经理审批，财务部据此做资产减值处理；</w:t>
      </w:r>
    </w:p>
    <w:p>
      <w:pPr>
        <w:spacing w:after="40"/>
      </w:pPr>
      <w:r>
        <w:rPr>
          <w:rFonts w:ascii="微软雅黑" w:hAnsi="微软雅黑" w:eastAsia="微软雅黑"/>
          <w:b w:val="0"/>
          <w:sz w:val="24"/>
        </w:rPr>
        <w:t>行政部每年 12 月组织一次全公司固定资产盘点，盘点结果与台账不一致的，查明原因并落实责任人。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