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索引的相关概念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索引分单列索引和组合索引还有其他。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单列索引</w:t>
      </w:r>
      <w:r>
        <w:rPr>
          <w:rFonts w:hint="eastAsia"/>
          <w:lang w:val="en-US" w:eastAsia="zh-CN"/>
        </w:rPr>
        <w:t>：一个索引只包含单个列；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组合索引</w:t>
      </w:r>
      <w:r>
        <w:rPr>
          <w:rFonts w:hint="eastAsia"/>
          <w:lang w:val="en-US" w:eastAsia="zh-CN"/>
        </w:rPr>
        <w:t>：一个索引包含多个列。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创建索引时，需要确保该索引是应用再SQL查询语句的条件（一般作为where子句的条件）。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实际上，索引也是一张表，该表保存了主键和索引字段，并指向是体表的记录。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查看一个表达的索引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52971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删除索引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52290" cy="581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创建索引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95215" cy="6191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5407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Mysql索引详解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参考：https://www.cnblogs.com/whgk/p/6179612.html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</w:pP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索引用于快速找出在某个列中有一特定值的行，不使用索引，MySQL必须从第一条记录开始读完整个表，直到找出相关的行，表越大，查询数据所花费的时间就越多，如果表中查询的列有一个索引，MySQL能够快速到达一个位置去搜索数据文件，而不必查看所有数据，那么将会节省很大一部分时间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Mysql中的索引的存储类型有两种：btree 和 hash。也就是使用 树 和hash值来存储该字段。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1，索引使用原则：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索引虽然可以大大加快数据的查询速度，但是创建和维护索引要耗费时间，并且随着数据量的增加所耗费的时间会相应增加；索引也需要占空间，大量使用索引会占用过多空间；当对表中的数据进行增删改时，索引也需要动态的维护，降低了数据的维护速度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因此，要合理使用索引：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对于经常更新的表，避免使用索引；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对经常用于查询的字段创建索引；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数据量小的表最好不要用索引；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如果某字段相同的值较多，则不要创建索引。比如在学生表的"性别"字段上只有男，女两个不同值。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索引的分类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普通索引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唯一索引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主键索引</w:t>
            </w: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组合索引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全文索引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空间索引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一个索引只包含单个列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一个索引只包含单个列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一个索引只包含单个列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在表中的多个字段组合上创建的索引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只有在MyISAM引擎上才能使用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对空间数据类型的字段建立的索引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普通索引：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Mysql中基本索引类型，没有什么限制，允许在定义索引的列中插入重复值和空值，纯粹为了查询数据更快一点。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唯一索引：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索引列中的值必须是唯一的，但是允许为空值。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主键索引：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是一种特殊的索引，不允许有空值。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组合索引</w:t>
      </w:r>
    </w:p>
    <w:p>
      <w:pPr>
        <w:numPr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在表中的多个字段组合上创建的索引，只有在查询条件中使用了这些字段的左边字段时，索引才会被使用，使用组合索引时遵循最左前缀集合。</w:t>
      </w:r>
    </w:p>
    <w:p>
      <w:pPr>
        <w:numPr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全文索引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全文索引，只有在MyISAM引擎上才能使用，只能在CHAR,VARCHAR,TEXT类型字段上使用全文索引，介绍了要求，说说什么是全文索引，就是在一堆文字中，通过其中的某个关键字等，就能找到该字段所属的记录行，比如有"你是个大煞笔，二货 ..." 通过大煞笔，可能就可以找到该条记录。这里说的是可能，因为全文索引的使用涉及了很多细节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空间索引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空间索引是对空间数据类型的字段建立的索引，MySQL中的空间数据类型有四种，GEOMETRY、POINT、LINESTRING、POLYGON。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在创建空间索引时，使用SPATIAL关键字。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要求，引擎为MyISAM，创建空间索引的列，必须将其声明为NOT NULL。　　　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创建普通索引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466590" cy="32092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创建唯一索引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8405" cy="2941320"/>
            <wp:effectExtent l="0" t="0" r="1079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2886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创建主键索引：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2190" cy="3493770"/>
            <wp:effectExtent l="0" t="0" r="1651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创建组合索引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7020" cy="3782060"/>
            <wp:effectExtent l="0" t="0" r="5080" b="889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组合索引遵从最左前缀，利用索引中最左边的列集来匹配行，这样的列集为最左前缀。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06095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创建和使用全文索引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在使用全文索引时，需要借助match函数，并且全文索引的限制比较多，比如只能通过myisam存储引擎；比如只能在char varchar text上设置全文索引；比如搜索的关键字默认至少要4各字节；比如搜索的关键字太短会被忽略，等等。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参考：http://blog.sina.com.cn/s/blog_ae1611930101a063.html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84090"/>
            <wp:effectExtent l="0" t="0" r="57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创建和使用空间索引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3836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95550" cy="485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对于geometry类型插入的数据类似如下：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ST_GeomFromText('POLYGON((-1e10 -1e10, -1e10 -1e10, -1e10 -1e10, -1e10 -1e10, -1e10 -1e10))')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测试索引：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E8B5"/>
    <w:multiLevelType w:val="singleLevel"/>
    <w:tmpl w:val="2BA0E8B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9F864DB"/>
    <w:multiLevelType w:val="singleLevel"/>
    <w:tmpl w:val="69F864DB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7E7B9C84"/>
    <w:multiLevelType w:val="singleLevel"/>
    <w:tmpl w:val="7E7B9C8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5A65"/>
    <w:rsid w:val="04D91233"/>
    <w:rsid w:val="05884BD7"/>
    <w:rsid w:val="06AF06CC"/>
    <w:rsid w:val="08AD1BC9"/>
    <w:rsid w:val="0A655436"/>
    <w:rsid w:val="0C6E5019"/>
    <w:rsid w:val="0EE77561"/>
    <w:rsid w:val="0F9807C0"/>
    <w:rsid w:val="10142E64"/>
    <w:rsid w:val="1606162E"/>
    <w:rsid w:val="1EF0011C"/>
    <w:rsid w:val="1FCC703D"/>
    <w:rsid w:val="20DB6DDA"/>
    <w:rsid w:val="21965DC4"/>
    <w:rsid w:val="22467A64"/>
    <w:rsid w:val="23C97A41"/>
    <w:rsid w:val="25A04596"/>
    <w:rsid w:val="26260489"/>
    <w:rsid w:val="269D7DE7"/>
    <w:rsid w:val="26DA4AF8"/>
    <w:rsid w:val="272F212D"/>
    <w:rsid w:val="29E83FDA"/>
    <w:rsid w:val="2A2F2CAE"/>
    <w:rsid w:val="2D0A6255"/>
    <w:rsid w:val="2D602F75"/>
    <w:rsid w:val="2FE55F12"/>
    <w:rsid w:val="30F23E5A"/>
    <w:rsid w:val="3378556E"/>
    <w:rsid w:val="37684839"/>
    <w:rsid w:val="387C5986"/>
    <w:rsid w:val="388A510A"/>
    <w:rsid w:val="38E43ABA"/>
    <w:rsid w:val="40FE6930"/>
    <w:rsid w:val="462634A5"/>
    <w:rsid w:val="46BD2CFC"/>
    <w:rsid w:val="493979B7"/>
    <w:rsid w:val="496C4C2E"/>
    <w:rsid w:val="49895D47"/>
    <w:rsid w:val="4BF04A6A"/>
    <w:rsid w:val="4FC064FD"/>
    <w:rsid w:val="50DC4706"/>
    <w:rsid w:val="52AB1E8A"/>
    <w:rsid w:val="56055CA6"/>
    <w:rsid w:val="563557E1"/>
    <w:rsid w:val="59292495"/>
    <w:rsid w:val="5B6C4C43"/>
    <w:rsid w:val="5BCD6986"/>
    <w:rsid w:val="5F1D4C85"/>
    <w:rsid w:val="600F430B"/>
    <w:rsid w:val="61EC3249"/>
    <w:rsid w:val="63050BE4"/>
    <w:rsid w:val="65B27726"/>
    <w:rsid w:val="690D5ABF"/>
    <w:rsid w:val="697D5425"/>
    <w:rsid w:val="6E457123"/>
    <w:rsid w:val="73795378"/>
    <w:rsid w:val="7460140F"/>
    <w:rsid w:val="77152197"/>
    <w:rsid w:val="7DA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us_te</dc:creator>
  <cp:lastModifiedBy>淡年华  _Qξ</cp:lastModifiedBy>
  <dcterms:modified xsi:type="dcterms:W3CDTF">2018-09-20T08:03:17Z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  <property fmtid="{D5CDD505-2E9C-101B-9397-08002B2CF9AE}" pid="3" name="KSORubyTemplateID" linkTarget="0">
    <vt:lpwstr>6</vt:lpwstr>
  </property>
</Properties>
</file>