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footer1.xml" ContentType="application/vnd.openxmlformats-officedocument.wordprocessingml.footer+xml"/>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r="http://schemas.openxmlformats.org/officeDocument/2006/relationships" xmlns:w="http://schemas.openxmlformats.org/wordprocessingml/2006/main">
  <w:body>
    <w:bookmarkStart w:id="61" w:name="X17ac48278c299894c19d5e5ce607d2013ab145f"/>
    <w:p>
      <w:pPr>
        <w:pStyle w:val="Heading1"/>
      </w:pPr>
      <w:r>
        <w:t xml:space="preserve">A Translational Cross-Modal Control-Cost Framework for Executive Breakdown</w:t>
      </w:r>
    </w:p>
    <w:p>
      <w:pPr>
        <w:pStyle w:val="FirstParagraph"/>
      </w:pPr>
      <w:r>
        <w:t xml:space="preserve">Yuxin Zhang</w:t>
      </w:r>
      <w:r>
        <w:br/>
      </w:r>
      <w:r>
        <w:t xml:space="preserve">Independent Researcher</w:t>
      </w:r>
    </w:p>
    <w:p>
      <w:pPr>
        <w:pStyle w:val="BodyText"/>
      </w:pPr>
      <w:r>
        <w:rPr>
          <w:b/>
          <w:bCs/>
        </w:rPr>
        <w:t xml:space="preserve">Article type</w:t>
      </w:r>
      <w:r>
        <w:t xml:space="preserve">: Hypothesis and Theory</w:t>
      </w:r>
      <w:r>
        <w:t xml:space="preserve"> </w:t>
      </w:r>
      <w:r>
        <w:rPr>
          <w:b/>
          <w:bCs/>
        </w:rPr>
        <w:t xml:space="preserve">Target journal</w:t>
      </w:r>
      <w:r>
        <w:t xml:space="preserve">: Frontiers in Neuroscience</w:t>
      </w:r>
      <w:r>
        <w:t xml:space="preserve"> </w:t>
      </w:r>
      <w:r>
        <w:rPr>
          <w:b/>
          <w:bCs/>
        </w:rPr>
        <w:t xml:space="preserve">Running title</w:t>
      </w:r>
      <w:r>
        <w:t xml:space="preserve">: Control-Cost in Executive Breakdown</w:t>
      </w:r>
      <w:r>
        <w:t xml:space="preserve"> </w:t>
      </w:r>
      <w:r>
        <w:rPr>
          <w:b/>
          <w:bCs/>
        </w:rPr>
        <w:t xml:space="preserve">Word count</w:t>
      </w:r>
      <w:r>
        <w:t xml:space="preserve">: ~10,000 words (main text, excluding abstract, figures, tables, captions, and references)</w:t>
      </w:r>
      <w:r>
        <w:t xml:space="preserve"> </w:t>
      </w:r>
      <w:r>
        <w:rPr>
          <w:b/>
          <w:bCs/>
        </w:rPr>
        <w:t xml:space="preserve">Abstract</w:t>
      </w:r>
      <w:r>
        <w:t xml:space="preserve">: 185 words</w:t>
      </w:r>
      <w:r>
        <w:t xml:space="preserve"> </w:t>
      </w:r>
      <w:r>
        <w:rPr>
          <w:b/>
          <w:bCs/>
        </w:rPr>
        <w:t xml:space="preserve">Figures/Tables</w:t>
      </w:r>
      <w:r>
        <w:t xml:space="preserve">: 5 figures; 5 tables</w:t>
      </w:r>
      <w:r>
        <w:t xml:space="preserve"> </w:t>
      </w:r>
      <w:r>
        <w:rPr>
          <w:b/>
          <w:bCs/>
        </w:rPr>
        <w:t xml:space="preserve">Keywords</w:t>
      </w:r>
      <w:r>
        <w:t xml:space="preserve">: executive friction, executive dysfunction, translational neuroscience, task-switching, psychophysiology, biomarker, clinical neuroscience, computational psychiatry</w:t>
      </w:r>
    </w:p>
    <w:p>
      <w:r>
        <w:pict>
          <ns1:rect style="width:0;height:1.5pt" ns2:hralign="center" ns2:hrstd="t" ns2:hr="t"/>
        </w:pict>
      </w:r>
    </w:p>
    <w:bookmarkStart w:id="9" w:name="abstract"/>
    <w:p>
      <w:pPr>
        <w:pStyle w:val="Heading2"/>
      </w:pPr>
      <w:r>
        <w:t xml:space="preserve">Abstract</w:t>
      </w:r>
    </w:p>
    <w:p>
      <w:pPr>
        <w:pStyle w:val="FirstParagraph"/>
      </w:pPr>
      <w:r>
        <w:t xml:space="preserve">Executive breakdown often reflects a dissociation between intact action knowledge and failed action implementation across neurological and neuropsychiatric conditions. We propose a latent cross-modal control-cost factor, termed</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to formalize this gap. The framework is specified at two levels: an empirical latent variable and a mechanistic family of control-cost models (integrated control effort and information-geometric deviation under baseline drift). Distress is modeled as a hazard-family function of smoothed friction change under appraisal constraints, and executive collapse is formulated as a bandwidth-saturation event when friction and noise costs exceed available selection power. The primary contribution is translational: a low-cost validation chain combining behavioral control tasks, adjusted modal-language scoring, and autonomic physiology (HRV/SCR), with neural and biochemical markers positioned as optional adjudication layers. Major depressive disorder, obsessive-compulsive disorder, and Parkinson’s disease are treated as boundary use cases for testing disorder-specific predictions rather than as replacements for existing nosology. We present five preregistration-ready hypotheses, explicit falsification thresholds, and a critical-load parameter for the knowing-doing transition. No new data are reported. The manuscript offers a theory-to-experiment framework for translational neuroscience studies of executive dysfunction and biomarker development.</w:t>
      </w:r>
    </w:p>
    <w:p>
      <w:r>
        <w:pict>
          <ns1:rect style="width:0;height:1.5pt" ns2:hralign="center" ns2:hrstd="t" ns2:hr="t"/>
        </w:pict>
      </w:r>
    </w:p>
    <w:bookmarkEnd w:id="9"/>
    <w:bookmarkStart w:id="14" w:name="introduction"/>
    <w:p>
      <w:pPr>
        <w:pStyle w:val="Heading2"/>
      </w:pPr>
      <w:r>
        <w:t xml:space="preserve">1. Introduction</w:t>
      </w:r>
    </w:p>
    <w:bookmarkStart w:id="10" w:name="the-knowingdoing-gap"/>
    <w:p>
      <w:pPr>
        <w:pStyle w:val="Heading3"/>
      </w:pPr>
      <w:r>
        <w:t xml:space="preserve">1.1 The Knowing–Doing Gap</w:t>
      </w:r>
    </w:p>
    <w:p>
      <w:pPr>
        <w:pStyle w:val="FirstParagraph"/>
      </w:pPr>
      <w:r>
        <w:t xml:space="preserve">Consider three clinical scenarios. A patient with Parkinson’s disease can describe, in precise detail, the sequence of movements required to stand from a chair — yet remains seated, unable to initiate the motor program. A patient with obsessive-compulsive disorder recognizes that her hand-washing compulsion is irrational and disproportionate — yet cannot resist executing it. A patient with major depressive disorder articulates what steps would improve his situation — exercise, social contact, medication adherence — yet lies immobile, unable to translate knowledge into action.</w:t>
      </w:r>
    </w:p>
    <w:p>
      <w:pPr>
        <w:pStyle w:val="BodyText"/>
      </w:pPr>
      <w:r>
        <w:t xml:space="preserve">These scenarios share a striking structural similarity: the agent’s representational model of the world and of appropriate action remains intact, while the capacity to</w:t>
      </w:r>
      <w:r>
        <w:t xml:space="preserve"> </w:t>
      </w:r>
      <w:r>
        <w:rPr>
          <w:i/>
          <w:iCs/>
        </w:rPr>
        <w:t xml:space="preserve">implement</w:t>
      </w:r>
      <w:r>
        <w:t xml:space="preserve"> </w:t>
      </w:r>
      <w:r>
        <w:t xml:space="preserve">that knowledge is compromised. This dissociation between knowing and doing — what we term the</w:t>
      </w:r>
      <w:r>
        <w:t xml:space="preserve"> </w:t>
      </w:r>
      <w:r>
        <w:rPr>
          <w:i/>
          <w:iCs/>
        </w:rPr>
        <w:t xml:space="preserve">knowing–doing gap</w:t>
      </w:r>
      <w:r>
        <w:t xml:space="preserve"> </w:t>
      </w:r>
      <w:r>
        <w:t xml:space="preserve">— is among the most clinically significant yet theoretically underspecified phenomena in cognitive neuroscience. While executive function research has catalogued the behavioral signatures of this gap extensively (Miyake et al., 2000; Diamond, 2013), and neuroimaging studies have identified associated neural substrates (Stuss and Alexander, 2007; Miller and Cohen, 2001), no existing framework provides a</w:t>
      </w:r>
      <w:r>
        <w:t xml:space="preserve"> </w:t>
      </w:r>
      <w:r>
        <w:rPr>
          <w:i/>
          <w:iCs/>
        </w:rPr>
        <w:t xml:space="preserve">unified quantitative account</w:t>
      </w:r>
      <w:r>
        <w:t xml:space="preserve"> </w:t>
      </w:r>
      <w:r>
        <w:t xml:space="preserve">that explains why knowledge and action can decouple, predicts when they will, and specifies how to measure the decoupling across behavioral, physiological, neural, and linguistic domains.</w:t>
      </w:r>
    </w:p>
    <w:bookmarkEnd w:id="10"/>
    <w:bookmarkStart w:id="11" w:name="limitations-of-current-frameworks"/>
    <w:p>
      <w:pPr>
        <w:pStyle w:val="Heading3"/>
      </w:pPr>
      <w:r>
        <w:t xml:space="preserve">1.2 Limitations of Current Frameworks</w:t>
      </w:r>
    </w:p>
    <w:p>
      <w:pPr>
        <w:pStyle w:val="FirstParagraph"/>
      </w:pPr>
      <w:r>
        <w:t xml:space="preserve">Several theoretical frameworks address aspects of the knowing–doing gap, but each captures only a partial picture.</w:t>
      </w:r>
    </w:p>
    <w:p>
      <w:pPr>
        <w:pStyle w:val="BodyText"/>
      </w:pPr>
      <w:r>
        <w:rPr>
          <w:b/>
          <w:bCs/>
        </w:rPr>
        <w:t xml:space="preserve">Cognitive load theory</w:t>
      </w:r>
      <w:r>
        <w:t xml:space="preserve"> </w:t>
      </w:r>
      <w:r>
        <w:t xml:space="preserve">(Sweller, 1988; Sweller et al., 2019) quantifies the demands placed on working memory during learning and task execution. While influential in educational psychology, it remains a purely behavioral construct without physiological or neural grounding, and it does not address the</w:t>
      </w:r>
      <w:r>
        <w:t xml:space="preserve"> </w:t>
      </w:r>
      <w:r>
        <w:rPr>
          <w:i/>
          <w:iCs/>
        </w:rPr>
        <w:t xml:space="preserve">maintenance cost</w:t>
      </w:r>
      <w:r>
        <w:t xml:space="preserve"> </w:t>
      </w:r>
      <w:r>
        <w:t xml:space="preserve">of sustaining a selected state over time against competing defaults.</w:t>
      </w:r>
    </w:p>
    <w:p>
      <w:pPr>
        <w:pStyle w:val="BodyText"/>
      </w:pPr>
      <w:r>
        <w:rPr>
          <w:b/>
          <w:bCs/>
        </w:rPr>
        <w:t xml:space="preserve">The Free Energy Principle</w:t>
      </w:r>
      <w:r>
        <w:t xml:space="preserve"> </w:t>
      </w:r>
      <w:r>
        <w:t xml:space="preserve">(FEP; Friston, 2010) provides an elegant variational framework in which organisms minimize prediction error. The complexity term in variational free energy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captures some of what we mean by</w:t>
      </w:r>
      <w:r>
        <w:t xml:space="preserve"> </w:t>
      </w:r>
      <w:r>
        <w:t xml:space="preserve">“friction”</w:t>
      </w:r>
      <w:r>
        <w:t xml:space="preserve"> </w:t>
      </w:r>
      <w:r>
        <w:t xml:space="preserve">— the cost of maintaining a model that deviates from priors. However, FEP treats this cost as something to be</w:t>
      </w:r>
      <w:r>
        <w:t xml:space="preserve"> </w:t>
      </w:r>
      <w:r>
        <w:rPr>
          <w:i/>
          <w:iCs/>
        </w:rPr>
        <w:t xml:space="preserve">minimized</w:t>
      </w:r>
      <w:r>
        <w:t xml:space="preserve">, and does not provide a framework for situations in which sustained high deviation cost is adaptive (e.g., creative problem-solving, ethical resistance to default heuristics) or for the</w:t>
      </w:r>
      <w:r>
        <w:t xml:space="preserve"> </w:t>
      </w:r>
      <w:r>
        <w:rPr>
          <w:i/>
          <w:iCs/>
        </w:rPr>
        <w:t xml:space="preserve">failure mode</w:t>
      </w:r>
      <w:r>
        <w:t xml:space="preserve"> </w:t>
      </w:r>
      <w:r>
        <w:t xml:space="preserve">in which deviation cost overwhelms the system’s capacity.</w:t>
      </w:r>
    </w:p>
    <w:p>
      <w:pPr>
        <w:pStyle w:val="BodyText"/>
      </w:pPr>
      <w:r>
        <w:rPr>
          <w:b/>
          <w:bCs/>
        </w:rPr>
        <w:t xml:space="preserve">Integrated Information Theory</w:t>
      </w:r>
      <w:r>
        <w:t xml:space="preserve"> </w:t>
      </w:r>
      <w:r>
        <w:t xml:space="preserve">(IIT; Tononi et al., 2016) offers a scalar measure of consciousness (</w:t>
      </w:r>
      <ns3:oMath>
        <ns3:r>
          <ns3:rPr>
            <ns3:sty ns3:val="p"/>
          </ns3:rPr>
          <ns3:t>Φ</ns3:t>
        </ns3:r>
      </ns3:oMath>
      <w:r>
        <w:t xml:space="preserve">) based on the irreducibility of cause-effect structures. While</w:t>
      </w:r>
      <w:r>
        <w:t xml:space="preserve"> </w:t>
      </w:r>
      <ns3:oMath>
        <ns3:r>
          <ns3:rPr>
            <ns3:sty ns3:val="p"/>
          </ns3:rPr>
          <ns3:t>Φ</ns3:t>
        </ns3:r>
      </ns3:oMath>
      <w:r>
        <w:t xml:space="preserve"> </w:t>
      </w:r>
      <w:r>
        <w:t xml:space="preserve">captures integration, it does not address the</w:t>
      </w:r>
      <w:r>
        <w:t xml:space="preserve"> </w:t>
      </w:r>
      <w:r>
        <w:rPr>
          <w:i/>
          <w:iCs/>
        </w:rPr>
        <w:t xml:space="preserve">dynamic cost</w:t>
      </w:r>
      <w:r>
        <w:t xml:space="preserve"> </w:t>
      </w:r>
      <w:r>
        <w:t xml:space="preserve">of maintaining integrated states or the transition costs between states. It provides a snapshot measure, not a cost function.</w:t>
      </w:r>
    </w:p>
    <w:p>
      <w:pPr>
        <w:pStyle w:val="BodyText"/>
      </w:pPr>
      <w:r>
        <w:rPr>
          <w:b/>
          <w:bCs/>
        </w:rPr>
        <w:t xml:space="preserve">Allostatic load</w:t>
      </w:r>
      <w:r>
        <w:t xml:space="preserve"> </w:t>
      </w:r>
      <w:r>
        <w:t xml:space="preserve">(McEwen, 1998; McEwen and Stellar, 1993) captures the cumulative physiological cost of chronic stress adaptation, but operates at too coarse a temporal grain to explain moment-to-moment executive breakdowns, and lacks a formal connection to information-theoretic quantities.</w:t>
      </w:r>
    </w:p>
    <w:p>
      <w:pPr>
        <w:pStyle w:val="BodyText"/>
      </w:pPr>
      <w:r>
        <w:rPr>
          <w:b/>
          <w:bCs/>
        </w:rPr>
        <w:t xml:space="preserve">Classical ego depletion models</w:t>
      </w:r>
      <w:r>
        <w:t xml:space="preserve"> </w:t>
      </w:r>
      <w:r>
        <w:t xml:space="preserve">conceptualize self-control as a limited resource (Baumeister et al., 1998), but glucose-specific substrate interpretations have received substantial methodological criticism, weak meta-analytic support, and replication concerns (Hagger et al., 2016; Vadillo et al., 2016). This motivates treating metabolic readouts as testable correlates rather than fixed assumptions.</w:t>
      </w:r>
    </w:p>
    <w:p>
      <w:pPr>
        <w:pStyle w:val="BodyText"/>
      </w:pPr>
      <w:r>
        <w:t xml:space="preserve">The critical gap is this: none of these frameworks provides a</w:t>
      </w:r>
      <w:r>
        <w:t xml:space="preserve"> </w:t>
      </w:r>
      <w:r>
        <w:rPr>
          <w:i/>
          <w:iCs/>
        </w:rPr>
        <w:t xml:space="preserve">single formally defined quantity</w:t>
      </w:r>
      <w:r>
        <w:t xml:space="preserve"> </w:t>
      </w:r>
      <w:r>
        <w:t xml:space="preserve">that (a) is grounded in both information-theoretic and thermodynamic principles, (b) generates measurable predictions across behavioral, physiological, neural, and linguistic domains simultaneously, (c) explains the knowing–doing gap as a specific failure mode, and (d) produces disorder-specific clinical predictions.</w:t>
      </w:r>
    </w:p>
    <w:bookmarkEnd w:id="11"/>
    <w:bookmarkStart w:id="12" w:name="contribution-and-scope"/>
    <w:p>
      <w:pPr>
        <w:pStyle w:val="Heading3"/>
      </w:pPr>
      <w:r>
        <w:t xml:space="preserve">1.3 Contribution and Scope</w:t>
      </w:r>
    </w:p>
    <w:p>
      <w:pPr>
        <w:pStyle w:val="FirstParagraph"/>
      </w:pPr>
      <w:r>
        <w:t xml:space="preserve">This manuscript is positioned as a translational neuroscience hypothesis paper on executive breakdown under resource-bounded action selection. We introduce</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as a latent cross-modal control-cost factor and evaluate it as a candidate bridge between computational theory, clinically accessible biomarkers, and disorder-differentiating predictions. The</w:t>
      </w:r>
      <w:r>
        <w:t xml:space="preserve"> </w:t>
      </w:r>
      <ns3:oMath>
        <ns3:sSub>
          <ns3:e>
            <ns3:r>
              <ns3:rPr>
                <ns3:sty ns3:val="p"/>
              </ns3:rPr>
              <ns3:t>Ψ</ns3:t>
            </ns3:r>
          </ns3:e>
          <ns3:sub>
            <ns3:r>
              <ns3:t>f</ns3:t>
            </ns3:r>
          </ns3:sub>
        </ns3:sSub>
      </ns3:oMath>
      <w:r>
        <w:t xml:space="preserve"> </w:t>
      </w:r>
      <w:r>
        <w:t xml:space="preserve">framework makes three specific predictions that are jointly stronger than prior accounts: a nonlinear critical-load transition (</w:t>
      </w:r>
      <ns3:oMath>
        <ns3:sSub>
          <ns3:e>
            <ns3:r>
              <ns3:t>ρ</ns3:t>
            </ns3:r>
          </ns3:e>
          <ns3:sub>
            <ns3:r>
              <ns3:t>c</ns3:t>
            </ns3:r>
          </ns3:sub>
        </ns3:sSub>
      </ns3:oMath>
      <w:r>
        <w:t xml:space="preserve">), context-sensitive modal-language shifts (</w:t>
      </w:r>
      <ns3:oMath>
        <ns3:sSub>
          <ns3:e>
            <ns3:r>
              <ns3:t>μ</ns3:t>
            </ns3:r>
          </ns3:e>
          <ns3:sub>
            <ns3:r>
              <ns3:rPr>
                <ns3:nor/>
                <ns3:sty ns3:val="p"/>
              </ns3:rPr>
              <ns3:t>sem</ns3:t>
            </ns3:r>
          </ns3:sub>
        </ns3:sSub>
      </ns3:oMath>
      <w:r>
        <w:t xml:space="preserve">), and convergence of behavioral-linguistic-physiological indicators onto a single latent factor. The core validation chain is intentionally low-cost and scalable: behavioral control tasks, adjusted modal-language scores, and autonomic physiology (HRV/SCR, with cortisol optional). Higher-cost neural and biochemical measures are treated as optional adjudication layers rather than prerequisites. Major depressive disorder, obsessive-compulsive disorder, and Parkinson’s disease are included as boundary use cases for stress-testing parameter drift and dissociation patterns, not as attempts to replace disease-specific pathophysiology. The main text is written in standard hierarchical-control and predictive-processing language, and Appendix A is kept strictly as optional notation support rather than as an entry point to any larger philosophical system.</w:t>
      </w:r>
    </w:p>
    <w:p>
      <w:pPr>
        <w:pStyle w:val="BodyText"/>
      </w:pPr>
      <w:r>
        <w:t xml:space="preserve">This is a theoretical and computational contribution aimed at empirical translation. No new data are reported. Consistent with the</w:t>
      </w:r>
      <w:r>
        <w:t xml:space="preserve"> </w:t>
      </w:r>
      <w:r>
        <w:rPr>
          <w:i/>
          <w:iCs/>
        </w:rPr>
        <w:t xml:space="preserve">Frontiers in Neuroscience</w:t>
      </w:r>
      <w:r>
        <w:t xml:space="preserve"> </w:t>
      </w:r>
      <w:r>
        <w:t xml:space="preserve">Hypothesis and Theory format, the paper advances a testable model within a specific area of investigation — the knowing-doing gap in executive dysfunction — and provides measurement strategy, falsification rules, and clinically tractable protocols for future adjudication.</w:t>
      </w:r>
    </w:p>
    <w:bookmarkEnd w:id="12"/>
    <w:bookmarkStart w:id="13" w:name="X610c227943a1e27e5a12781e73c17e4ddf6fb3e"/>
    <w:p>
      <w:pPr>
        <w:pStyle w:val="Heading3"/>
      </w:pPr>
      <w:r>
        <w:t xml:space="preserve">1.4 Standard Control Terms Used in This Manuscript</w:t>
      </w:r>
    </w:p>
    <w:p>
      <w:pPr>
        <w:pStyle w:val="FirstParagraph"/>
      </w:pPr>
      <w:r>
        <w:t xml:space="preserve">To reduce interpretation burden, the main text uses established control-theoretic and predictive-processing language throughout:</w:t>
      </w:r>
    </w:p>
    <w:p>
      <w:pPr>
        <w:pStyle w:val="Compact"/>
        <w:numPr>
          <w:ilvl w:val="0"/>
          <w:numId w:val="1001"/>
        </w:numPr>
      </w:pPr>
      <ns3:oMath>
        <ns3:sSub>
          <ns3:e>
            <ns3:r>
              <ns3:rPr>
                <ns3:sty ns3:val="p"/>
              </ns3:rPr>
              <ns3:t>Ψ</ns3:t>
            </ns3:r>
          </ns3:e>
          <ns3:sub>
            <ns3:r>
              <ns3:t>f</ns3:t>
            </ns3:r>
          </ns3:sub>
        </ns3:sSub>
      </ns3:oMath>
      <w:r>
        <w:t xml:space="preserve">: estimable control/execution cost (latent cross-modal factor), termed</w:t>
      </w:r>
      <w:r>
        <w:t xml:space="preserve"> </w:t>
      </w:r>
      <w:r>
        <w:t xml:space="preserve">“executive friction.”</w:t>
      </w:r>
    </w:p>
    <w:p>
      <w:pPr>
        <w:pStyle w:val="Compact"/>
        <w:numPr>
          <w:ilvl w:val="0"/>
          <w:numId w:val="1001"/>
        </w:numPr>
      </w:pPr>
      <ns3:oMath>
        <ns3:sSub>
          <ns3:e>
            <ns3:r>
              <ns3:t>P</ns3:t>
            </ns3:r>
          </ns3:e>
          <ns3:sub>
            <ns3:r>
              <ns3:rPr>
                <ns3:nor/>
                <ns3:sty ns3:val="p"/>
              </ns3:rPr>
              <ns3:t>sel</ns3:t>
            </ns3:r>
          </ns3:sub>
        </ns3:sSub>
      </ns3:oMath>
      <w:r>
        <w:t xml:space="preserve">: available control budget (selection capacity proxy).</w:t>
      </w:r>
    </w:p>
    <w:p>
      <w:pPr>
        <w:pStyle w:val="Compact"/>
        <w:numPr>
          <w:ilvl w:val="0"/>
          <w:numId w:val="1001"/>
        </w:numPr>
      </w:pPr>
      <w:r>
        <w:t xml:space="preserve">candidate policy space: the set of task-relevant options or policies available to the agent.</w:t>
      </w:r>
    </w:p>
    <w:p>
      <w:pPr>
        <w:pStyle w:val="Compact"/>
        <w:numPr>
          <w:ilvl w:val="0"/>
          <w:numId w:val="1001"/>
        </w:numPr>
      </w:pPr>
      <w:r>
        <w:t xml:space="preserve">active state: the currently implemented percept-action or task-control state.</w:t>
      </w:r>
    </w:p>
    <w:p>
      <w:pPr>
        <w:pStyle w:val="Compact"/>
        <w:numPr>
          <w:ilvl w:val="0"/>
          <w:numId w:val="1001"/>
        </w:numPr>
      </w:pPr>
      <w:r>
        <w:t xml:space="preserve">slow constraints: habits, priors, hyperpriors, and trait-like parameters that shape future selections.</w:t>
      </w:r>
    </w:p>
    <w:p>
      <w:pPr>
        <w:pStyle w:val="Compact"/>
        <w:numPr>
          <w:ilvl w:val="0"/>
          <w:numId w:val="1001"/>
        </w:numPr>
      </w:pPr>
      <w:r>
        <w:t xml:space="preserve">resource-bounded selection/gating mechanism: the control process that maps candidate policies into active execution under finite neural and bodily resources.</w:t>
      </w:r>
    </w:p>
    <w:p>
      <w:pPr>
        <w:pStyle w:val="FirstParagraph"/>
      </w:pPr>
      <w:r>
        <w:t xml:space="preserve">Readers who prefer compact symbols can consult Appendix A, but the argument of the paper does not depend on any special notation.</w:t>
      </w:r>
    </w:p>
    <w:p>
      <w:r>
        <w:pict>
          <ns1:rect style="width:0;height:1.5pt" ns2:hralign="center" ns2:hrstd="t" ns2:hr="t"/>
        </w:pict>
      </w:r>
    </w:p>
    <w:bookmarkEnd w:id="13"/>
    <w:bookmarkEnd w:id="14"/>
    <w:bookmarkStart w:id="20" w:name="X0edbdb768447dd038cb84e29fe09fa2fa86d5cc"/>
    <w:p>
      <w:pPr>
        <w:pStyle w:val="Heading2"/>
      </w:pPr>
      <w:r>
        <w:t xml:space="preserve">2. A Hierarchical Control Framework for Executive Friction</w:t>
      </w:r>
    </w:p>
    <w:bookmarkStart w:id="15" w:name="a-minimal-hierarchical-control-scaffold"/>
    <w:p>
      <w:pPr>
        <w:pStyle w:val="Heading3"/>
      </w:pPr>
      <w:r>
        <w:t xml:space="preserve">2.1 A Minimal Hierarchical Control Scaffold</w:t>
      </w:r>
    </w:p>
    <w:p>
      <w:pPr>
        <w:pStyle w:val="FirstParagraph"/>
      </w:pPr>
      <w:r>
        <w:t xml:space="preserve">The framework developed here can be read entirely within standard hierarchical control language. The three-part decomposition is a pragmatic level-of-description choice rather than a new ontology. Readers do not need to adopt any broader philosophical framework to evaluate</w:t>
      </w:r>
      <w:r>
        <w:t xml:space="preserve"> </w:t>
      </w:r>
      <ns3:oMath>
        <ns3:sSub>
          <ns3:e>
            <ns3:r>
              <ns3:rPr>
                <ns3:sty ns3:val="p"/>
              </ns3:rPr>
              <ns3:t>Ψ</ns3:t>
            </ns3:r>
          </ns3:e>
          <ns3:sub>
            <ns3:r>
              <ns3:t>f</ns3:t>
            </ns3:r>
          </ns3:sub>
        </ns3:sSub>
      </ns3:oMath>
      <w:r>
        <w:t xml:space="preserve">: the same equations are intended to be compatible with working-memory gating accounts, resource-rational control formulations, and active-inference/predictive-coding control loops (Miller and Cohen, 2001; Frank et al., 2004; Friston, 2010; Shenhav et al., 2017).</w:t>
      </w:r>
    </w:p>
    <w:p>
      <w:pPr>
        <w:pStyle w:val="BodyText"/>
      </w:pPr>
      <w:r>
        <w:rPr>
          <w:b/>
          <w:bCs/>
        </w:rPr>
        <w:t xml:space="preserve">Candidate policy space.</w:t>
      </w:r>
      <w:r>
        <w:t xml:space="preserve"> </w:t>
      </w:r>
      <w:r>
        <w:t xml:space="preserve">This denotes the task-relevant set of candidate states or strategies available to the agent at a given time.</w:t>
      </w:r>
    </w:p>
    <w:p>
      <w:pPr>
        <w:pStyle w:val="BodyText"/>
      </w:pPr>
      <w:r>
        <w:rPr>
          <w:b/>
          <w:bCs/>
        </w:rPr>
        <w:t xml:space="preserve">Active state.</w:t>
      </w:r>
      <w:r>
        <w:t xml:space="preserve"> </w:t>
      </w:r>
      <w:r>
        <w:t xml:space="preserve">This denotes the perceptual interpretation and action policy currently being implemented.</w:t>
      </w:r>
    </w:p>
    <w:p>
      <w:pPr>
        <w:pStyle w:val="BodyText"/>
      </w:pPr>
      <w:r>
        <w:rPr>
          <w:b/>
          <w:bCs/>
        </w:rPr>
        <w:t xml:space="preserve">Slow constraints.</w:t>
      </w:r>
      <w:r>
        <w:t xml:space="preserve"> </w:t>
      </w:r>
      <w:r>
        <w:t xml:space="preserve">These are the slower variables that shape future selections, including habits, model priors, hyperpriors, and trait-like control limits.</w:t>
      </w:r>
    </w:p>
    <w:p>
      <w:pPr>
        <w:pStyle w:val="BodyText"/>
      </w:pPr>
      <w:r>
        <w:t xml:space="preserve">These layers are linked by a</w:t>
      </w:r>
      <w:r>
        <w:t xml:space="preserve"> </w:t>
      </w:r>
      <w:r>
        <w:rPr>
          <w:b/>
          <w:bCs/>
        </w:rPr>
        <w:t xml:space="preserve">resource-bounded selection mechanism</w:t>
      </w:r>
      <w:r>
        <w:t xml:space="preserve">, which maps candidate policies into executed states:</w:t>
      </w:r>
    </w:p>
    <w:p>
      <w:pPr>
        <w:pStyle w:val="BodyText"/>
      </w:pPr>
      <ns3:oMathPara>
        <ns3:oMathParaPr>
          <ns3:jc ns3:val="center"/>
        </ns3:oMathParaPr>
        <ns3:oMath>
          <ns3:sSub>
            <ns3:e>
              <ns3:r>
                <ns3:t>x</ns3:t>
              </ns3:r>
            </ns3:e>
            <ns3:sub>
              <ns3:r>
                <ns3:rPr>
                  <ns3:nor/>
                  <ns3:sty ns3:val="p"/>
                </ns3:rPr>
                <ns3:t>act</ns3:t>
              </ns3:r>
            </ns3:sub>
          </ns3:sSub>
          <ns3:r>
            <ns3:rPr>
              <ns3:sty ns3:val="p"/>
            </ns3:rPr>
            <ns3:t>(</ns3:t>
          </ns3:r>
          <ns3:r>
            <ns3:t>t</ns3:t>
          </ns3:r>
          <ns3:r>
            <ns3:rPr>
              <ns3:sty ns3:val="p"/>
            </ns3:rPr>
            <ns3:t>)</ns3:t>
          </ns3:r>
          <ns3:r>
            <ns3:rPr>
              <ns3:sty ns3:val="p"/>
            </ns3:rPr>
            <ns3:t>=</ns3:t>
          </ns3:r>
          <ns3:sSub>
            <ns3:e>
              <ns3:r>
                <ns3:rPr>
                  <ns3:sty ns3:val="p"/>
                </ns3:rPr>
                <ns3:t>Select</ns3:t>
              </ns3:r>
            </ns3:e>
            <ns3:sub>
              <ns3:r>
                <ns3:t>θ</ns3:t>
              </ns3:r>
            </ns3:sub>
          </ns3:sSub>
          <ns3:r>
            <ns3:t>​</ns3:t>
          </ns3:r>
          <ns3:d>
            <ns3:dPr>
              <ns3:begChr ns3:val="["/>
              <ns3:sepChr ns3:val=""/>
              <ns3:endChr ns3:val="]"/>
              <ns3:grow/>
            </ns3:dPr>
            <ns3:e>
              <ns3:r>
                <ns3:rPr>
                  <ns3:sty ns3:val="p"/>
                </ns3:rPr>
                <ns3:t>Π</ns3:t>
              </ns3:r>
              <ns3:r>
                <ns3:rPr>
                  <ns3:sty ns3:val="p"/>
                </ns3:rPr>
                <ns3:t>(</ns3:t>
              </ns3:r>
              <ns3:r>
                <ns3:t>t</ns3:t>
              </ns3:r>
              <ns3:r>
                <ns3:rPr>
                  <ns3:sty ns3:val="p"/>
                </ns3:rPr>
                <ns3:t>)</ns3:t>
              </ns3:r>
            </ns3:e>
          </ns3:d>
        </ns3:oMath>
      </ns3:oMathPara>
    </w:p>
    <w:p>
      <w:pPr>
        <w:pStyle w:val="FirstParagraph"/>
      </w:pPr>
      <w:r>
        <w:t xml:space="preserve">where</w:t>
      </w:r>
      <w:r>
        <w:t xml:space="preserve"> </w:t>
      </w:r>
      <ns3:oMath>
        <ns3:r>
          <ns3:rPr>
            <ns3:sty ns3:val="p"/>
          </ns3:rPr>
          <ns3:t>Π</ns3:t>
        </ns3:r>
        <ns3:r>
          <ns3:rPr>
            <ns3:sty ns3:val="p"/>
          </ns3:rPr>
          <ns3:t>(</ns3:t>
        </ns3:r>
        <ns3:r>
          <ns3:t>t</ns3:t>
        </ns3:r>
        <ns3:r>
          <ns3:rPr>
            <ns3:sty ns3:val="p"/>
          </ns3:rPr>
          <ns3:t>)</ns3:t>
        </ns3:r>
      </ns3:oMath>
      <w:r>
        <w:t xml:space="preserve"> </w:t>
      </w:r>
      <w:r>
        <w:t xml:space="preserve">denotes the candidate policy space,</w:t>
      </w:r>
      <w:r>
        <w:t xml:space="preserve"> </w:t>
      </w:r>
      <ns3:oMath>
        <ns3:sSub>
          <ns3:e>
            <ns3:r>
              <ns3:t>x</ns3:t>
            </ns3:r>
          </ns3:e>
          <ns3:sub>
            <ns3:r>
              <ns3:rPr>
                <ns3:nor/>
                <ns3:sty ns3:val="p"/>
              </ns3:rPr>
              <ns3:t>act</ns3:t>
            </ns3:r>
          </ns3:sub>
        </ns3:sSub>
        <ns3:r>
          <ns3:rPr>
            <ns3:sty ns3:val="p"/>
          </ns3:rPr>
          <ns3:t>(</ns3:t>
        </ns3:r>
        <ns3:r>
          <ns3:t>t</ns3:t>
        </ns3:r>
        <ns3:r>
          <ns3:rPr>
            <ns3:sty ns3:val="p"/>
          </ns3:rPr>
          <ns3:t>)</ns3:t>
        </ns3:r>
      </ns3:oMath>
      <w:r>
        <w:t xml:space="preserve"> </w:t>
      </w:r>
      <w:r>
        <w:t xml:space="preserve">the active state, and</w:t>
      </w:r>
      <w:r>
        <w:t xml:space="preserve"> </w:t>
      </w:r>
      <ns3:oMath>
        <ns3:r>
          <ns3:t>θ</ns3:t>
        </ns3:r>
      </ns3:oMath>
      <w:r>
        <w:t xml:space="preserve"> </w:t>
      </w:r>
      <w:r>
        <w:t xml:space="preserve">the finite embodiment parameters (e.g., network weights, neuromodulatory state, and metabolic constraints). The subscript</w:t>
      </w:r>
      <w:r>
        <w:t xml:space="preserve"> </w:t>
      </w:r>
      <ns3:oMath>
        <ns3:r>
          <ns3:t>θ</ns3:t>
        </ns3:r>
      </ns3:oMath>
      <w:r>
        <w:t xml:space="preserve"> </w:t>
      </w:r>
      <w:r>
        <w:t xml:space="preserve">emphasizes resource-bounded selection.</w:t>
      </w:r>
    </w:p>
    <w:p>
      <w:pPr>
        <w:pStyle w:val="BodyText"/>
      </w:pPr>
      <w:r>
        <w:t xml:space="preserve">Slow constraints update through stabilization:</w:t>
      </w:r>
    </w:p>
    <w:p>
      <w:pPr>
        <w:pStyle w:val="BodyText"/>
      </w:pPr>
      <ns3:oMathPara>
        <ns3:oMathParaPr>
          <ns3:jc ns3:val="center"/>
        </ns3:oMathParaPr>
        <ns3:oMath>
          <ns3:r>
            <ns3:t>z</ns3:t>
          </ns3:r>
          <ns3:r>
            <ns3:rPr>
              <ns3:sty ns3:val="p"/>
            </ns3:rPr>
            <ns3:t>(</ns3:t>
          </ns3:r>
          <ns3:r>
            <ns3:t>t</ns3:t>
          </ns3:r>
          <ns3:r>
            <ns3:rPr>
              <ns3:sty ns3:val="p"/>
            </ns3:rPr>
            <ns3:t>+</ns3:t>
          </ns3:r>
          <ns3:r>
            <ns3:t>1</ns3:t>
          </ns3:r>
          <ns3:r>
            <ns3:rPr>
              <ns3:sty ns3:val="p"/>
            </ns3:rPr>
            <ns3:t>)</ns3:t>
          </ns3:r>
          <ns3:r>
            <ns3:rPr>
              <ns3:sty ns3:val="p"/>
            </ns3:rPr>
            <ns3:t>=</ns3:t>
          </ns3:r>
          <ns3:r>
            <ns3:rPr>
              <ns3:sty ns3:val="p"/>
            </ns3:rPr>
            <ns3:t>Stabilize</ns3:t>
          </ns3:r>
          <ns3:r>
            <ns3:t>​</ns3:t>
          </ns3:r>
          <ns3:d>
            <ns3:dPr>
              <ns3:begChr ns3:val="("/>
              <ns3:sepChr ns3:val=""/>
              <ns3:endChr ns3:val=")"/>
              <ns3:grow/>
            </ns3:dPr>
            <ns3:e>
              <ns3:r>
                <ns3:t>z</ns3:t>
              </ns3:r>
              <ns3:r>
                <ns3:rPr>
                  <ns3:sty ns3:val="p"/>
                </ns3:rPr>
                <ns3:t>(</ns3:t>
              </ns3:r>
              <ns3:r>
                <ns3:t>t</ns3:t>
              </ns3:r>
              <ns3:r>
                <ns3:rPr>
                  <ns3:sty ns3:val="p"/>
                </ns3:rPr>
                <ns3:t>)</ns3:t>
              </ns3:r>
              <ns3:r>
                <ns3:rPr>
                  <ns3:sty ns3:val="p"/>
                </ns3:rPr>
                <ns3:t>,</ns3:t>
              </ns3:r>
              <ns3:r>
                <ns3:t> </ns3:t>
              </ns3:r>
              <ns3:sSub>
                <ns3:e>
                  <ns3:r>
                    <ns3:t>x</ns3:t>
                  </ns3:r>
                </ns3:e>
                <ns3:sub>
                  <ns3:r>
                    <ns3:rPr>
                      <ns3:nor/>
                      <ns3:sty ns3:val="p"/>
                    </ns3:rPr>
                    <ns3:t>act</ns3:t>
                  </ns3:r>
                </ns3:sub>
              </ns3:sSub>
              <ns3:r>
                <ns3:rPr>
                  <ns3:sty ns3:val="p"/>
                </ns3:rPr>
                <ns3:t>(</ns3:t>
              </ns3:r>
              <ns3:r>
                <ns3:t>t</ns3:t>
              </ns3:r>
              <ns3:r>
                <ns3:rPr>
                  <ns3:sty ns3:val="p"/>
                </ns3:rPr>
                <ns3:t>+</ns3:t>
              </ns3:r>
              <ns3:r>
                <ns3:t>1</ns3:t>
              </ns3:r>
              <ns3:r>
                <ns3:rPr>
                  <ns3:sty ns3:val="p"/>
                </ns3:rPr>
                <ns3:t>)</ns3:t>
              </ns3:r>
            </ns3:e>
          </ns3:d>
        </ns3:oMath>
      </ns3:oMathPara>
    </w:p>
    <w:p>
      <w:pPr>
        <w:pStyle w:val="FirstParagraph"/>
      </w:pPr>
      <w:r>
        <w:t xml:space="preserve">Within this architecture, the key claim is that maintaining or switching the active state relative to a baseline policy trajectory incurs a measurable control cost, termed executive friction (</w:t>
      </w:r>
      <ns3:oMath>
        <ns3:sSub>
          <ns3:e>
            <ns3:r>
              <ns3:rPr>
                <ns3:sty ns3:val="p"/>
              </ns3:rPr>
              <ns3:t>Ψ</ns3:t>
            </ns3:r>
          </ns3:e>
          <ns3:sub>
            <ns3:r>
              <ns3:t>f</ns3:t>
            </ns3:r>
          </ns3:sub>
        </ns3:sSub>
      </ns3:oMath>
      <w:r>
        <w:t xml:space="preserve">), that constrains executive function.</w:t>
      </w:r>
    </w:p>
    <w:bookmarkEnd w:id="15"/>
    <w:bookmarkStart w:id="16" w:name="Xd55a1bc9cc53043d84f8e00e4a5bf1b40c0cc73"/>
    <w:p>
      <w:pPr>
        <w:pStyle w:val="Heading3"/>
      </w:pPr>
      <w:r>
        <w:t xml:space="preserve">2.2 Executive Friction (</w:t>
      </w:r>
      <ns3:oMath>
        <ns3:sSub>
          <ns3:e>
            <ns3:r>
              <ns3:rPr>
                <ns3:sty ns3:val="p"/>
              </ns3:rPr>
              <ns3:t>Ψ</ns3:t>
            </ns3:r>
          </ns3:e>
          <ns3:sub>
            <ns3:r>
              <ns3:t>f</ns3:t>
            </ns3:r>
          </ns3:sub>
        </ns3:sSub>
      </ns3:oMath>
      <w:r>
        <w:t xml:space="preserve">): Formal Definition</w:t>
      </w:r>
    </w:p>
    <w:p>
      <w:pPr>
        <w:pStyle w:val="FirstParagraph"/>
      </w:pPr>
      <w:r>
        <w:t xml:space="preserve">We define executive friction through a two-level specification designed for direct estimation and mechanistic testing. The term</w:t>
      </w:r>
      <w:r>
        <w:t xml:space="preserve"> </w:t>
      </w:r>
      <w:r>
        <w:t xml:space="preserve">“executive friction”</w:t>
      </w:r>
      <w:r>
        <w:t xml:space="preserve"> </w:t>
      </w:r>
      <w:r>
        <w:t xml:space="preserve">denotes the cross-layer maintenance and switching cost that an agent incurs when sustaining or reconfiguring an active control state against baseline defaults.</w:t>
      </w:r>
    </w:p>
    <w:p>
      <w:pPr>
        <w:pStyle w:val="BodyText"/>
      </w:pPr>
      <w:r>
        <w:rPr>
          <w:b/>
          <w:bCs/>
        </w:rPr>
        <w:t xml:space="preserve">Definition 1A (Level-0 empirical latent variable).</w:t>
      </w:r>
      <w:r>
        <w:t xml:space="preserve"> </w:t>
      </w:r>
      <w:r>
        <w:t xml:space="preserve">At the measurement level,</w:t>
      </w:r>
      <w:r>
        <w:t xml:space="preserve"> </w:t>
      </w:r>
      <ns3:oMath>
        <ns3:sSub>
          <ns3:e>
            <ns3:r>
              <ns3:rPr>
                <ns3:sty ns3:val="p"/>
              </ns3:rPr>
              <ns3:t>Ψ</ns3:t>
            </ns3:r>
          </ns3:e>
          <ns3:sub>
            <ns3:r>
              <ns3:t>f</ns3:t>
            </ns3:r>
          </ns3:sub>
        </ns3:sSub>
      </ns3:oMath>
      <w:r>
        <w:t xml:space="preserve"> </w:t>
      </w:r>
      <w:r>
        <w:t xml:space="preserve">is a latent factor jointly loaded by behavioral, linguistic, and physiological indicators (with neural and biochemical indicators used as expansion modalities):</w:t>
      </w:r>
    </w:p>
    <w:p>
      <w:pPr>
        <w:pStyle w:val="BodyText"/>
      </w:pPr>
      <ns3:oMathPara>
        <ns3:oMathParaPr>
          <ns3:jc ns3:val="center"/>
        </ns3:oMathParaPr>
        <ns3:oMath>
          <ns3:sSub>
            <ns3:e>
              <ns3:r>
                <ns3:t>y</ns3:t>
              </ns3:r>
            </ns3:e>
            <ns3:sub>
              <ns3:r>
                <ns3:t>k</ns3:t>
              </ns3:r>
            </ns3:sub>
          </ns3:sSub>
          <ns3:r>
            <ns3:rPr>
              <ns3:sty ns3:val="p"/>
            </ns3:rPr>
            <ns3:t>=</ns3:t>
          </ns3:r>
          <ns3:sSub>
            <ns3:e>
              <ns3:r>
                <ns3:t>λ</ns3:t>
              </ns3:r>
            </ns3:e>
            <ns3:sub>
              <ns3:r>
                <ns3:t>k</ns3:t>
              </ns3:r>
            </ns3:sub>
          </ns3:sSub>
          <ns3:sSub>
            <ns3:e>
              <ns3:r>
                <ns3:rPr>
                  <ns3:sty ns3:val="p"/>
                </ns3:rPr>
                <ns3:t>Ψ</ns3:t>
              </ns3:r>
            </ns3:e>
            <ns3:sub>
              <ns3:r>
                <ns3:t>f</ns3:t>
              </ns3:r>
            </ns3:sub>
          </ns3:sSub>
          <ns3:r>
            <ns3:rPr>
              <ns3:sty ns3:val="p"/>
            </ns3:rPr>
            <ns3:t>+</ns3:t>
          </ns3:r>
          <ns3:sSub>
            <ns3:e>
              <ns3:r>
                <ns3:t>ε</ns3:t>
              </ns3:r>
            </ns3:e>
            <ns3:sub>
              <ns3:r>
                <ns3:t>k</ns3:t>
              </ns3:r>
            </ns3:sub>
          </ns3:sSub>
          <ns3:r>
            <ns3:rPr>
              <ns3:sty ns3:val="p"/>
            </ns3:rPr>
            <ns3:t>,</ns3:t>
          </ns3:r>
          <ns3:r>
            <ns3:t> </ns3:t>
          </ns3:r>
          <ns3:r>
            <ns3:t>k</ns3:t>
          </ns3:r>
          <ns3:r>
            <ns3:rPr>
              <ns3:sty ns3:val="p"/>
            </ns3:rPr>
            <ns3:t>=</ns3:t>
          </ns3:r>
          <ns3:r>
            <ns3:t>1</ns3:t>
          </ns3:r>
          <ns3:r>
            <ns3:rPr>
              <ns3:sty ns3:val="p"/>
            </ns3:rPr>
            <ns3:t>,</ns3:t>
          </ns3:r>
          <ns3:r>
            <ns3:rPr>
              <ns3:sty ns3:val="p"/>
            </ns3:rPr>
            <ns3:t>…</ns3:t>
          </ns3:r>
          <ns3:r>
            <ns3:rPr>
              <ns3:sty ns3:val="p"/>
            </ns3:rPr>
            <ns3:t>,</ns3:t>
          </ns3:r>
          <ns3:r>
            <ns3:t>K</ns3:t>
          </ns3:r>
          <ns3:r>
            <ns3:t>  </ns3:t>
          </ns3:r>
          <ns3:r>
            <ns3:rPr>
              <ns3:nor/>
              <ns3:sty ns3:val="p"/>
            </ns3:rPr>
            <ns3:t>(3a)</ns3:t>
          </ns3:r>
        </ns3:oMath>
      </ns3:oMathPara>
    </w:p>
    <w:p>
      <w:pPr>
        <w:pStyle w:val="FirstParagraph"/>
      </w:pPr>
      <w:r>
        <w:t xml:space="preserve">where</w:t>
      </w:r>
      <w:r>
        <w:t xml:space="preserve"> </w:t>
      </w:r>
      <ns3:oMath>
        <ns3:sSub>
          <ns3:e>
            <ns3:r>
              <ns3:t>y</ns3:t>
            </ns3:r>
          </ns3:e>
          <ns3:sub>
            <ns3:r>
              <ns3:t>k</ns3:t>
            </ns3:r>
          </ns3:sub>
        </ns3:sSub>
      </ns3:oMath>
      <w:r>
        <w:t xml:space="preserve"> </w:t>
      </w:r>
      <w:r>
        <w:t xml:space="preserve">are standardized observed indicators,</w:t>
      </w:r>
      <w:r>
        <w:t xml:space="preserve"> </w:t>
      </w:r>
      <ns3:oMath>
        <ns3:sSub>
          <ns3:e>
            <ns3:r>
              <ns3:t>λ</ns3:t>
            </ns3:r>
          </ns3:e>
          <ns3:sub>
            <ns3:r>
              <ns3:t>k</ns3:t>
            </ns3:r>
          </ns3:sub>
        </ns3:sSub>
      </ns3:oMath>
      <w:r>
        <w:t xml:space="preserve"> </w:t>
      </w:r>
      <w:r>
        <w:t xml:space="preserve">are factor loadings, and</w:t>
      </w:r>
      <w:r>
        <w:t xml:space="preserve"> </w:t>
      </w:r>
      <ns3:oMath>
        <ns3:sSub>
          <ns3:e>
            <ns3:r>
              <ns3:t>ε</ns3:t>
            </ns3:r>
          </ns3:e>
          <ns3:sub>
            <ns3:r>
              <ns3:t>k</ns3:t>
            </ns3:r>
          </ns3:sub>
        </ns3:sSub>
      </ns3:oMath>
      <w:r>
        <w:t xml:space="preserve"> </w:t>
      </w:r>
      <w:r>
        <w:t xml:space="preserve">are residuals. This is the estimand used in SEM/CFA analyses.</w:t>
      </w:r>
    </w:p>
    <w:p>
      <w:pPr>
        <w:pStyle w:val="BodyText"/>
      </w:pPr>
      <w:r>
        <w:rPr>
          <w:b/>
          <w:bCs/>
        </w:rPr>
        <w:t xml:space="preserve">Definition 1B (Level-1 mechanistic control cost).</w:t>
      </w:r>
      <w:r>
        <w:t xml:space="preserve"> </w:t>
      </w:r>
      <w:r>
        <w:t xml:space="preserve">At the mechanism level, let state dynamics be</w:t>
      </w:r>
    </w:p>
    <w:p>
      <w:pPr>
        <w:pStyle w:val="BodyText"/>
      </w:pPr>
      <ns3:oMathPara>
        <ns3:oMathParaPr>
          <ns3:jc ns3:val="center"/>
        </ns3:oMathParaPr>
        <ns3:oMath>
          <ns3:eqArr>
            <ns3:e>
              <ns3:acc>
                <ns3:accPr>
                  <ns3:chr ns3:val="̇"/>
                </ns3:accPr>
                <ns3:e>
                  <ns3:r>
                    <ns3:t>x</ns3:t>
                  </ns3:r>
                </ns3:e>
              </ns3:acc>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sSub>
                <ns3:e>
                  <ns3:r>
                    <ns3:t>B</ns3:t>
                  </ns3:r>
                </ns3:e>
                <ns3:sub>
                  <ns3:r>
                    <ns3:t>θ</ns3:t>
                  </ns3:r>
                </ns3:sub>
              </ns3:sSub>
              <ns3:r>
                <ns3:rPr>
                  <ns3:sty ns3:val="p"/>
                </ns3:rPr>
                <ns3:t>(</ns3:t>
              </ns3:r>
              <ns3:r>
                <ns3:t>x</ns3:t>
              </ns3:r>
              <ns3:r>
                <ns3:rPr>
                  <ns3:sty ns3:val="p"/>
                </ns3:rPr>
                <ns3:t>,</ns3:t>
              </ns3:r>
              <ns3:r>
                <ns3:t>t</ns3:t>
              </ns3:r>
              <ns3:r>
                <ns3:rPr>
                  <ns3:sty ns3:val="p"/>
                </ns3:rPr>
                <ns3:t>)</ns3:t>
              </ns3:r>
              <ns3:r>
                <ns3:t> </ns3:t>
              </ns3:r>
              <ns3:r>
                <ns3:t>u</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rPr>
                  <ns3:sty ns3:val="p"/>
                </ns3:rPr>
                <ns3:t>,</ns3:t>
              </ns3:r>
            </ns3:e>
            <ns3:e>
              <ns3:sSub>
                <ns3:e>
                  <ns3:acc>
                    <ns3:accPr>
                      <ns3:chr ns3:val="̇"/>
                    </ns3:accPr>
                    <ns3:e>
                      <ns3:r>
                        <ns3:t>x</ns3:t>
                      </ns3:r>
                    </ns3:e>
                  </ns3:acc>
                </ns3:e>
                <ns3:sub>
                  <ns3:r>
                    <ns3:t>0</ns3:t>
                  </ns3:r>
                </ns3:sub>
              </ns3:sSub>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t> </ns3:t>
              </ns3:r>
              <ns3:r>
                <ns3:rPr>
                  <ns3:nor/>
                  <ns3:sty ns3:val="p"/>
                </ns3:rPr>
                <ns3:t>when </ns3:t>
              </ns3:r>
              <ns3:r>
                <ns3:t>u</ns3:t>
              </ns3:r>
              <ns3:r>
                <ns3:rPr>
                  <ns3:sty ns3:val="p"/>
                </ns3:rPr>
                <ns3:t>(</ns3:t>
              </ns3:r>
              <ns3:r>
                <ns3:t>t</ns3:t>
              </ns3:r>
              <ns3:r>
                <ns3:rPr>
                  <ns3:sty ns3:val="p"/>
                </ns3:rPr>
                <ns3:t>)</ns3:t>
              </ns3:r>
              <ns3:r>
                <ns3:rPr>
                  <ns3:sty ns3:val="p"/>
                </ns3:rPr>
                <ns3:t>=</ns3:t>
              </ns3:r>
              <ns3:r>
                <ns3:t>0</ns3:t>
              </ns3:r>
            </ns3:e>
          </ns3:eqArr>
          <ns3:r>
            <ns3:t>  </ns3:t>
          </ns3:r>
          <ns3:r>
            <ns3:rPr>
              <ns3:nor/>
              <ns3:sty ns3:val="p"/>
            </ns3:rPr>
            <ns3:t>(3b)</ns3:t>
          </ns3:r>
        </ns3:oMath>
      </ns3:oMathPara>
    </w:p>
    <w:p>
      <w:pPr>
        <w:pStyle w:val="FirstParagraph"/>
      </w:pPr>
      <w:r>
        <w:t xml:space="preserve">where</w:t>
      </w:r>
      <w:r>
        <w:t xml:space="preserve"> </w:t>
      </w:r>
      <ns3:oMath>
        <ns3:r>
          <ns3:t>u</ns3:t>
        </ns3:r>
        <ns3:r>
          <ns3:rPr>
            <ns3:sty ns3:val="p"/>
          </ns3:rPr>
          <ns3:t>(</ns3:t>
        </ns3:r>
        <ns3:r>
          <ns3:t>t</ns3:t>
        </ns3:r>
        <ns3:r>
          <ns3:rPr>
            <ns3:sty ns3:val="p"/>
          </ns3:rPr>
          <ns3:t>)</ns3:t>
        </ns3:r>
      </ns3:oMath>
      <w:r>
        <w:t xml:space="preserve"> </w:t>
      </w:r>
      <w:r>
        <w:t xml:space="preserve">is control input and</w:t>
      </w:r>
      <w:r>
        <w:t xml:space="preserve"> </w:t>
      </w:r>
      <ns3:oMath>
        <ns3:sSub>
          <ns3:e>
            <ns3:acc>
              <ns3:accPr>
                <ns3:chr ns3:val="̇"/>
              </ns3:accPr>
              <ns3:e>
                <ns3:r>
                  <ns3:t>x</ns3:t>
                </ns3:r>
              </ns3:e>
            </ns3:acc>
          </ns3:e>
          <ns3:sub>
            <ns3:r>
              <ns3:t>0</ns3:t>
            </ns3:r>
          </ns3:sub>
        </ns3:sSub>
      </ns3:oMath>
      <w:r>
        <w:t xml:space="preserve"> </w:t>
      </w:r>
      <w:r>
        <w:t xml:space="preserve">is the no-control (baseline drift) trajectory. Executive friction is instantiated as integrated control effort:</w:t>
      </w:r>
    </w:p>
    <w:p>
      <w:pPr>
        <w:pStyle w:val="BodyText"/>
      </w:pPr>
      <ns3:oMathPara>
        <ns3:oMathParaPr>
          <ns3:jc ns3:val="center"/>
        </ns3:oMathParaPr>
        <ns3:oMath>
          <ns3:sSubSup>
            <ns3:e>
              <ns3:r>
                <ns3:rPr>
                  <ns3:sty ns3:val="p"/>
                </ns3:rPr>
                <ns3:t>Ψ</ns3:t>
              </ns3:r>
            </ns3:e>
            <ns3:sub>
              <ns3:r>
                <ns3:t>f</ns3:t>
              </ns3:r>
            </ns3:sub>
            <ns3:sup>
              <ns3:r>
                <ns3:rPr>
                  <ns3:nor/>
                  <ns3:sty ns3:val="p"/>
                </ns3:rPr>
                <ns3:t>ctrl</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r>
                <ns3:t>u</ns3:t>
              </ns3:r>
            </ns3:e>
          </ns3:nary>
          <ns3:r>
            <ns3:rPr>
              <ns3:sty ns3:val="p"/>
            </ns3:rPr>
            <ns3:t>(</ns3:t>
          </ns3:r>
          <ns3:r>
            <ns3:t>t</ns3:t>
          </ns3:r>
          <ns3:sSup>
            <ns3:e>
              <ns3:r>
                <ns3:rPr>
                  <ns3:sty ns3:val="p"/>
                </ns3:rPr>
                <ns3:t>)</ns3:t>
              </ns3:r>
            </ns3:e>
            <ns3:sup>
              <ns3:r>
                <ns3:rPr>
                  <ns3:sty ns3:val="p"/>
                </ns3:rPr>
                <ns3:t>⊤</ns3:t>
              </ns3:r>
            </ns3:sup>
          </ns3:sSup>
          <ns3:r>
            <ns3:t>R</ns3:t>
          </ns3:r>
          <ns3:r>
            <ns3:t> </ns3:t>
          </ns3:r>
          <ns3:r>
            <ns3:t>u</ns3:t>
          </ns3:r>
          <ns3:r>
            <ns3:rPr>
              <ns3:sty ns3:val="p"/>
            </ns3:rPr>
            <ns3:t>(</ns3:t>
          </ns3:r>
          <ns3:r>
            <ns3:t>t</ns3:t>
          </ns3:r>
          <ns3:r>
            <ns3:rPr>
              <ns3:sty ns3:val="p"/>
            </ns3:rPr>
            <ns3:t>)</ns3:t>
          </ns3:r>
          <ns3:r>
            <ns3:t> </ns3:t>
          </ns3:r>
          <ns3:r>
            <ns3:t>d</ns3:t>
          </ns3:r>
          <ns3:r>
            <ns3:t>t</ns3:t>
          </ns3:r>
          <ns3:r>
            <ns3:rPr>
              <ns3:sty ns3:val="p"/>
            </ns3:rPr>
            <ns3:t>,</ns3:t>
          </ns3:r>
          <ns3:r>
            <ns3:t> </ns3:t>
          </ns3:r>
          <ns3:r>
            <ns3:t>R</ns3:t>
          </ns3:r>
          <ns3:r>
            <ns3:rPr>
              <ns3:sty ns3:val="p"/>
            </ns3:rPr>
            <ns3:t>≻</ns3:t>
          </ns3:r>
          <ns3:r>
            <ns3:t>0</ns3:t>
          </ns3:r>
        </ns3:oMath>
      </ns3:oMathPara>
    </w:p>
    <w:p>
      <w:pPr>
        <w:pStyle w:val="FirstParagraph"/>
      </w:pPr>
      <w:r>
        <w:t xml:space="preserve">with an information-geometric comparator model:</w:t>
      </w:r>
    </w:p>
    <w:p>
      <w:pPr>
        <w:pStyle w:val="BodyText"/>
      </w:pPr>
      <ns3:oMathPara>
        <ns3:oMathParaPr>
          <ns3:jc ns3:val="center"/>
        </ns3:oMathParaPr>
        <ns3:oMath>
          <ns3:sSubSup>
            <ns3:e>
              <ns3:r>
                <ns3:rPr>
                  <ns3:sty ns3:val="p"/>
                </ns3:rPr>
                <ns3:t>Ψ</ns3:t>
              </ns3:r>
            </ns3:e>
            <ns3:sub>
              <ns3:r>
                <ns3:t>f</ns3:t>
              </ns3:r>
            </ns3:sub>
            <ns3:sup>
              <ns3:r>
                <ns3:rPr>
                  <ns3:nor/>
                  <ns3:sty ns3:val="p"/>
                </ns3:rPr>
                <ns3:t>info</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sSub>
                <ns3:e>
                  <ns3:r>
                    <ns3:t>D</ns3:t>
                  </ns3:r>
                </ns3:e>
                <ns3:sub>
                  <ns3:r>
                    <ns3:t>K</ns3:t>
                  </ns3:r>
                  <ns3:r>
                    <ns3:t>L</ns3:t>
                  </ns3:r>
                </ns3:sub>
              </ns3:sSub>
            </ns3:e>
          </ns3:nary>
          <ns3:r>
            <ns3:t>​</ns3:t>
          </ns3:r>
          <ns3:d>
            <ns3:dPr>
              <ns3:begChr ns3:val="("/>
              <ns3:sepChr ns3:val=""/>
              <ns3:endChr ns3:val=")"/>
              <ns3:grow/>
            </ns3:dPr>
            <ns3:e>
              <ns3:sSub>
                <ns3:e>
                  <ns3:r>
                    <ns3:t>q</ns3:t>
                  </ns3:r>
                </ns3:e>
                <ns3:sub>
                  <ns3:r>
                    <ns3:t>t</ns3:t>
                  </ns3:r>
                </ns3:sub>
              </ns3:sSub>
              <ns3:r>
                <ns3:rPr>
                  <ns3:sty ns3:val="p"/>
                </ns3:rPr>
                <ns3:t>∥</ns3:t>
              </ns3:r>
              <ns3:sSubSup>
                <ns3:e>
                  <ns3:r>
                    <ns3:t>q</ns3:t>
                  </ns3:r>
                </ns3:e>
                <ns3:sub>
                  <ns3:r>
                    <ns3:t>t</ns3:t>
                  </ns3:r>
                </ns3:sub>
                <ns3:sup>
                  <ns3:r>
                    <ns3:t>0</ns3:t>
                  </ns3:r>
                </ns3:sup>
              </ns3:sSubSup>
            </ns3:e>
          </ns3:d>
          <ns3:r>
            <ns3:t>d</ns3:t>
          </ns3:r>
          <ns3:r>
            <ns3:t>t</ns3:t>
          </ns3:r>
          <ns3:r>
            <ns3:t>  </ns3:t>
          </ns3:r>
          <ns3:r>
            <ns3:rPr>
              <ns3:nor/>
              <ns3:sty ns3:val="p"/>
            </ns3:rPr>
            <ns3:t>(3d)</ns3:t>
          </ns3:r>
        </ns3:oMath>
      </ns3:oMathPara>
    </w:p>
    <w:p>
      <w:pPr>
        <w:pStyle w:val="FirstParagraph"/>
      </w:pPr>
      <w:r>
        <w:t xml:space="preserve">where</w:t>
      </w:r>
      <w:r>
        <w:t xml:space="preserve"> </w:t>
      </w:r>
      <ns3:oMath>
        <ns3:sSubSup>
          <ns3:e>
            <ns3:r>
              <ns3:t>q</ns3:t>
            </ns3:r>
          </ns3:e>
          <ns3:sub>
            <ns3:r>
              <ns3:t>t</ns3:t>
            </ns3:r>
          </ns3:sub>
          <ns3:sup>
            <ns3:r>
              <ns3:t>0</ns3:t>
            </ns3:r>
          </ns3:sup>
        </ns3:sSubSup>
      </ns3:oMath>
      <w:r>
        <w:t xml:space="preserve"> </w:t>
      </w:r>
      <w:r>
        <w:t xml:space="preserve">denotes the baseline-policy distribution. Under regularity conditions (e.g., locally smooth trajectories and second-order KL expansion in exponential-family neighborhoods), the KL form admits a Fisher-metric approximation:</w:t>
      </w:r>
    </w:p>
    <w:p>
      <w:pPr>
        <w:pStyle w:val="BodyText"/>
      </w:pPr>
      <ns3:oMathPara>
        <ns3:oMathParaPr>
          <ns3:jc ns3:val="center"/>
        </ns3:oMathParaPr>
        <ns3:oMath>
          <ns3:sSubSup>
            <ns3:e>
              <ns3:r>
                <ns3:rPr>
                  <ns3:sty ns3:val="p"/>
                </ns3:rPr>
                <ns3:t>Ψ</ns3:t>
              </ns3:r>
            </ns3:e>
            <ns3:sub>
              <ns3:r>
                <ns3:t>f</ns3:t>
              </ns3:r>
            </ns3:sub>
            <ns3:sup>
              <ns3:r>
                <ns3:rPr>
                  <ns3:nor/>
                  <ns3:sty ns3:val="p"/>
                </ns3:rPr>
                <ns3:t>KL-2nd</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acc>
                <ns3:accPr>
                  <ns3:chr ns3:val="̇"/>
                </ns3:accPr>
                <ns3:e>
                  <ns3:r>
                    <ns3:t>ϑ</ns3:t>
                  </ns3:r>
                </ns3:e>
              </ns3:acc>
            </ns3:e>
          </ns3:nary>
          <ns3:r>
            <ns3:rPr>
              <ns3:sty ns3:val="p"/>
            </ns3:rPr>
            <ns3:t>(</ns3:t>
          </ns3:r>
          <ns3:r>
            <ns3:t>t</ns3:t>
          </ns3:r>
          <ns3:sSup>
            <ns3:e>
              <ns3:r>
                <ns3:rPr>
                  <ns3:sty ns3:val="p"/>
                </ns3:rPr>
                <ns3:t>)</ns3:t>
              </ns3:r>
            </ns3:e>
            <ns3:sup>
              <ns3:r>
                <ns3:rPr>
                  <ns3:sty ns3:val="p"/>
                </ns3:rPr>
                <ns3:t>⊤</ns3:t>
              </ns3:r>
            </ns3:sup>
          </ns3:sSup>
          <ns3:sSub>
            <ns3:e>
              <ns3:r>
                <ns3:t>g</ns3:t>
              </ns3:r>
            </ns3:e>
            <ns3:sub>
              <ns3:r>
                <ns3:t>F</ns3:t>
              </ns3:r>
            </ns3:sub>
          </ns3:sSub>
          <ns3:r>
            <ns3:rPr>
              <ns3:sty ns3:val="p"/>
            </ns3:rPr>
            <ns3:t>(</ns3:t>
          </ns3:r>
          <ns3:r>
            <ns3:t>ϑ</ns3:t>
          </ns3:r>
          <ns3:r>
            <ns3:rPr>
              <ns3:sty ns3:val="p"/>
            </ns3:rPr>
            <ns3:t>)</ns3:t>
          </ns3:r>
          <ns3:acc>
            <ns3:accPr>
              <ns3:chr ns3:val="̇"/>
            </ns3:accPr>
            <ns3:e>
              <ns3:r>
                <ns3:t>ϑ</ns3:t>
              </ns3:r>
            </ns3:e>
          </ns3:acc>
          <ns3:r>
            <ns3:rPr>
              <ns3:sty ns3:val="p"/>
            </ns3:rPr>
            <ns3:t>(</ns3:t>
          </ns3:r>
          <ns3:r>
            <ns3:t>t</ns3:t>
          </ns3:r>
          <ns3:r>
            <ns3:rPr>
              <ns3:sty ns3:val="p"/>
            </ns3:rPr>
            <ns3:t>)</ns3:t>
          </ns3:r>
          <ns3:r>
            <ns3:t> </ns3:t>
          </ns3:r>
          <ns3:r>
            <ns3:t>d</ns3:t>
          </ns3:r>
          <ns3:r>
            <ns3:t>t</ns3:t>
          </ns3:r>
          <ns3:r>
            <ns3:t>  </ns3:t>
          </ns3:r>
          <ns3:r>
            <ns3:rPr>
              <ns3:nor/>
              <ns3:sty ns3:val="p"/>
            </ns3:rPr>
            <ns3:t>(3d’)</ns3:t>
          </ns3:r>
        </ns3:oMath>
      </ns3:oMathPara>
    </w:p>
    <w:p>
      <w:pPr>
        <w:pStyle w:val="FirstParagraph"/>
      </w:pPr>
      <w:r>
        <w:t xml:space="preserve">(Amari, 2016). In this paper,</w:t>
      </w:r>
      <w:r>
        <w:t xml:space="preserve"> </w:t>
      </w:r>
      <ns3:oMath>
        <ns3:sSub>
          <ns3:e>
            <ns3:r>
              <ns3:rPr>
                <ns3:sty ns3:val="p"/>
              </ns3:rPr>
              <ns3:t>Ψ</ns3:t>
            </ns3:r>
          </ns3:e>
          <ns3:sub>
            <ns3:r>
              <ns3:t>f</ns3:t>
            </ns3:r>
          </ns3:sub>
        </ns3:sSub>
      </ns3:oMath>
      <w:r>
        <w:t xml:space="preserve"> </w:t>
      </w:r>
      <w:r>
        <w:t xml:space="preserve">denotes the Level-0 latent construct, while Equations (3c), (3d), and (3d’) are treated as competing/related mechanism models to be compared empirically rather than universally equivalent identities.</w:t>
      </w:r>
    </w:p>
    <w:p>
      <w:pPr>
        <w:pStyle w:val="BodyText"/>
      </w:pPr>
      <w:r>
        <w:rPr>
          <w:b/>
          <w:bCs/>
        </w:rPr>
        <w:t xml:space="preserve">Mechanism-model comparison plan.</w:t>
      </w:r>
      <w:r>
        <w:t xml:space="preserve"> </w:t>
      </w:r>
      <w:r>
        <w:t xml:space="preserve">Equation (3c) is treated as a control-energy model best matched to trial-level demand manipulations (e.g., switch/inhibition load), whereas Equations (3d)/(3d’) are treated as distributional-deviation models for belief-drift or habit-override regimes. In empirical programs, matched hierarchical models will be fit to the same outcomes and compared with out-of-sample criteria (LOO/WAIC, with Bayes factors where model regularity allows). Pre-registered interpretation is: if the 3c-family wins, friction is operationally summarized as control effort; if 3d/3d’ wins, friction is better summarized as information-geometric deviation; if no mechanism family dominates, Equation (3a) remains the estimand and mechanism equations are treated as context-specific modules.</w:t>
      </w:r>
    </w:p>
    <w:p>
      <w:pPr>
        <w:pStyle w:val="BodyText"/>
      </w:pPr>
      <w:r>
        <w:rPr>
          <w:b/>
          <w:bCs/>
        </w:rPr>
        <w:t xml:space="preserve">Definition 2 (Distress Hazard Family).</w:t>
      </w:r>
      <w:r>
        <w:t xml:space="preserve"> </w:t>
      </w:r>
      <w:r>
        <w:t xml:space="preserve">Subjective distress is modeled as a hazard-family function of</w:t>
      </w:r>
      <w:r>
        <w:t xml:space="preserve"> </w:t>
      </w:r>
      <w:r>
        <w:rPr>
          <w:i/>
          <w:iCs/>
        </w:rPr>
        <w:t xml:space="preserve">smoothed</w:t>
      </w:r>
      <w:r>
        <w:t xml:space="preserve"> </w:t>
      </w:r>
      <w:r>
        <w:t xml:space="preserve">friction change and appraisal state:</w:t>
      </w:r>
    </w:p>
    <w:p>
      <w:pPr>
        <w:pStyle w:val="BodyText"/>
      </w:pPr>
      <ns3:oMathPara>
        <ns3:oMathParaPr>
          <ns3:jc ns3:val="center"/>
        </ns3:oMathParaPr>
        <ns3:oMath>
          <ns3:sSub>
            <ns3:e>
              <ns3:r>
                <ns3:t>h</ns3:t>
              </ns3:r>
            </ns3:e>
            <ns3:sub>
              <ns3:r>
                <ns3:rPr>
                  <ns3:nor/>
                  <ns3:sty ns3:val="p"/>
                </ns3:rPr>
                <ns3:t>distress</ns3:t>
              </ns3:r>
            </ns3:sub>
          </ns3:sSub>
          <ns3:r>
            <ns3:rPr>
              <ns3:sty ns3:val="p"/>
            </ns3:rPr>
            <ns3:t>(</ns3:t>
          </ns3:r>
          <ns3:r>
            <ns3:t>t</ns3:t>
          </ns3:r>
          <ns3:r>
            <ns3:rPr>
              <ns3:sty ns3:val="p"/>
            </ns3:rPr>
            <ns3:t>)</ns3:t>
          </ns3:r>
          <ns3:r>
            <ns3:rPr>
              <ns3:sty ns3:val="p"/>
            </ns3:rPr>
            <ns3:t>=</ns3:t>
          </ns3:r>
          <ns3:r>
            <ns3:t>σ</ns3:t>
          </ns3:r>
          <ns3:r>
            <ns3:t>​</ns3:t>
          </ns3:r>
          <ns3:d>
            <ns3:dPr>
              <ns3:begChr ns3:val="("/>
              <ns3:sepChr ns3:val=""/>
              <ns3:endChr ns3:val=")"/>
              <ns3:grow/>
            </ns3:dPr>
            <ns3:e>
              <ns3:r>
                <ns3:t>a</ns3:t>
              </ns3:r>
              <ns3:r>
                <ns3:t> </ns3:t>
              </ns3:r>
              <ns3:f>
                <ns3:fPr>
                  <ns3:type ns3:val="bar"/>
                </ns3:fPr>
                <ns3:num>
                  <ns3:r>
                    <ns3:t>d</ns3:t>
                  </ns3:r>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r>
                    <ns3:rPr>
                      <ns3:sty ns3:val="p"/>
                    </ns3:rPr>
                    <ns3:t>(</ns3:t>
                  </ns3:r>
                  <ns3:r>
                    <ns3:t>t</ns3:t>
                  </ns3:r>
                  <ns3:r>
                    <ns3:rPr>
                      <ns3:sty ns3:val="p"/>
                    </ns3:rPr>
                    <ns3:t>)</ns3:t>
                  </ns3:r>
                </ns3:num>
                <ns3:den>
                  <ns3:r>
                    <ns3:t>d</ns3:t>
                  </ns3:r>
                  <ns3:r>
                    <ns3:t>t</ns3:t>
                  </ns3:r>
                </ns3:den>
              </ns3:f>
              <ns3:r>
                <ns3:rPr>
                  <ns3:sty ns3:val="p"/>
                </ns3:rPr>
                <ns3:t>+</ns3:t>
              </ns3:r>
              <ns3:r>
                <ns3:t>c</ns3:t>
              </ns3:r>
              <ns3:r>
                <ns3:t> </ns3:t>
              </ns3:r>
              <ns3:r>
                <ns3:rPr>
                  <ns3:nor/>
                  <ns3:sty ns3:val="p"/>
                </ns3:rPr>
                <ns3:t>Appraisal</ns3:t>
              </ns3:r>
              <ns3:r>
                <ns3:rPr>
                  <ns3:sty ns3:val="p"/>
                </ns3:rPr>
                <ns3:t>(</ns3:t>
              </ns3:r>
              <ns3:r>
                <ns3:t>t</ns3:t>
              </ns3:r>
              <ns3:r>
                <ns3:rPr>
                  <ns3:sty ns3:val="p"/>
                </ns3:rPr>
                <ns3:t>)</ns3:t>
              </ns3:r>
              <ns3:r>
                <ns3:rPr>
                  <ns3:sty ns3:val="p"/>
                </ns3:rPr>
                <ns3:t>−</ns3:t>
              </ns3:r>
              <ns3:r>
                <ns3:t>b</ns3:t>
              </ns3:r>
            </ns3:e>
          </ns3:d>
        </ns3:oMath>
      </ns3:oMathPara>
    </w:p>
    <w:p>
      <w:pPr>
        <w:pStyle w:val="FirstParagraph"/>
      </w:pPr>
      <w:r>
        <w:t xml:space="preserve">where</w:t>
      </w:r>
      <w:r>
        <w:t xml:space="preserve"> </w:t>
      </w:r>
      <ns3:oMath>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oMath>
      <w:r>
        <w:t xml:space="preserve"> </w:t>
      </w:r>
      <w:r>
        <w:t xml:space="preserve">is a smoothed friction trajectory (window</w:t>
      </w:r>
      <w:r>
        <w:t xml:space="preserve"> </w:t>
      </w:r>
      <ns3:oMath>
        <ns3:r>
          <ns3:t>τ</ns3:t>
        </ns3:r>
      </ns3:oMath>
      <w:r>
        <w:t xml:space="preserve">),</w:t>
      </w:r>
      <w:r>
        <w:t xml:space="preserve"> </w:t>
      </w:r>
      <ns3:oMath>
        <ns3:r>
          <ns3:t>σ</ns3:t>
        </ns3:r>
        <ns3:r>
          <ns3:rPr>
            <ns3:sty ns3:val="p"/>
          </ns3:rPr>
          <ns3:t>(</ns3:t>
        </ns3:r>
        <ns3:r>
          <ns3:rPr>
            <ns3:sty ns3:val="p"/>
          </ns3:rPr>
          <ns3:t>⋅</ns3:t>
        </ns3:r>
        <ns3:r>
          <ns3:rPr>
            <ns3:sty ns3:val="p"/>
          </ns3:rPr>
          <ns3:t>)</ns3:t>
        </ns3:r>
      </ns3:oMath>
      <w:r>
        <w:t xml:space="preserve"> </w:t>
      </w:r>
      <w:r>
        <w:t xml:space="preserve">is a monotone link (e.g., logistic), and Appraisal captures contextual evaluation (Gaab et al., 2005). In the local linear limit with approximately constant appraisal, Equation (4) reduces to the familiar approximation</w:t>
      </w:r>
      <w:r>
        <w:t xml:space="preserve"> </w:t>
      </w:r>
      <ns3:oMath>
        <ns3:r>
          <ns3:rPr>
            <ns3:nor/>
            <ns3:sty ns3:val="p"/>
          </ns3:rPr>
          <ns3:t>distress</ns3:t>
        </ns3:r>
        <ns3:r>
          <ns3:rPr>
            <ns3:sty ns3:val="p"/>
          </ns3:rPr>
          <ns3:t>∝</ns3:t>
        </ns3:r>
        <ns3:r>
          <ns3:t>d</ns3:t>
        </ns3:r>
        <ns3:sSub>
          <ns3:e>
            <ns3:r>
              <ns3:rPr>
                <ns3:sty ns3:val="p"/>
              </ns3:rPr>
              <ns3:t>Ψ</ns3:t>
            </ns3:r>
          </ns3:e>
          <ns3:sub>
            <ns3:r>
              <ns3:t>f</ns3:t>
            </ns3:r>
          </ns3:sub>
        </ns3:sSub>
        <ns3:r>
          <ns3:rPr>
            <ns3:sty ns3:val="p"/>
          </ns3:rPr>
          <ns3:t>/</ns3:t>
        </ns3:r>
        <ns3:r>
          <ns3:t>d</ns3:t>
        </ns3:r>
        <ns3:r>
          <ns3:t>t</ns3:t>
        </ns3:r>
      </ns3:oMath>
      <w:r>
        <w:t xml:space="preserve">. This preserves the core intuition that rapidly increasing friction is destabilizing while avoiding the stronger and less defensible claim that all pain is solely driven by raw derivatives.</w:t>
      </w:r>
    </w:p>
    <w:p>
      <w:pPr>
        <w:pStyle w:val="BodyText"/>
      </w:pPr>
      <w:r>
        <w:t xml:space="preserve">For pre-registration,</w:t>
      </w:r>
      <w:r>
        <w:t xml:space="preserve"> </w:t>
      </w:r>
      <ns3:oMath>
        <ns3:r>
          <ns3:t>τ</ns3:t>
        </ns3:r>
      </ns3:oMath>
      <w:r>
        <w:t xml:space="preserve"> </w:t>
      </w:r>
      <w:r>
        <w:t xml:space="preserve">is treated as a sensitivity parameter (default grid: 10 s, 30 s, 60 s, or trial-window analogs), and Appraisal is measured block-wise on a 0-100 challenge/threat scale immediately after each block to reduce retrospective distortion.</w:t>
      </w:r>
    </w:p>
    <w:p>
      <w:pPr>
        <w:pStyle w:val="BodyText"/>
      </w:pPr>
      <w:r>
        <w:rPr>
          <w:b/>
          <w:bCs/>
        </w:rPr>
        <w:t xml:space="preserve">Definition 3 (Selection Budget Inequality; Thermodynamic-Inspired).</w:t>
      </w:r>
      <w:r>
        <w:t xml:space="preserve"> </w:t>
      </w:r>
      <w:r>
        <w:t xml:space="preserve">The rate of change of macroscopic task-state order</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 operationalizable as mutual information density, topological invariants, or compression ratio — is bounded by:</w:t>
      </w:r>
    </w:p>
    <w:p>
      <w:pPr>
        <w:pStyle w:val="BodyText"/>
      </w:pPr>
      <ns3:oMathPara>
        <ns3:oMathParaPr>
          <ns3:jc ns3:val="center"/>
        </ns3:oMathParaPr>
        <ns3:oMath>
          <ns3:f>
            <ns3:fPr>
              <ns3:type ns3:val="bar"/>
            </ns3:fPr>
            <ns3:num>
              <ns3:r>
                <ns3:t>d</ns3:t>
              </ns3:r>
              <ns3:r>
                <ns3:t>q</ns3:t>
              </ns3:r>
            </ns3:num>
            <ns3:den>
              <ns3:r>
                <ns3:t>d</ns3:t>
              </ns3:r>
              <ns3:r>
                <ns3:t>t</ns3:t>
              </ns3:r>
            </ns3:den>
          </ns3:f>
          <ns3:r>
            <ns3:rPr>
              <ns3:sty ns3:val="p"/>
            </ns3:rPr>
            <ns3:t>≤</ns3:t>
          </ns3:r>
          <ns3:r>
            <ns3:t>α</ns3:t>
          </ns3:r>
          <ns3:r>
            <ns3:rPr>
              <ns3:sty ns3:val="p"/>
            </ns3:rPr>
            <ns3:t>⋅</ns3:t>
          </ns3:r>
          <ns3:sSub>
            <ns3:e>
              <ns3:r>
                <ns3:t>P</ns3:t>
              </ns3:r>
            </ns3:e>
            <ns3:sub>
              <ns3:r>
                <ns3:rPr>
                  <ns3:nor/>
                  <ns3:sty ns3:val="p"/>
                </ns3:rPr>
                <ns3:t>sel</ns3:t>
              </ns3:r>
            </ns3:sub>
          </ns3:sSub>
          <ns3:r>
            <ns3:rPr>
              <ns3:sty ns3:val="p"/>
            </ns3:rPr>
            <ns3:t>(</ns3:t>
          </ns3:r>
          <ns3:r>
            <ns3:t>t</ns3:t>
          </ns3:r>
          <ns3:r>
            <ns3:rPr>
              <ns3:sty ns3:val="p"/>
            </ns3:rPr>
            <ns3:t>)</ns3:t>
          </ns3:r>
          <ns3:r>
            <ns3:rPr>
              <ns3:sty ns3:val="p"/>
            </ns3:rPr>
            <ns3:t>−</ns3:t>
          </ns3:r>
          <ns3:r>
            <ns3:t>β</ns3:t>
          </ns3:r>
          <ns3:r>
            <ns3:rPr>
              <ns3:sty ns3:val="p"/>
            </ns3:rPr>
            <ns3:t>⋅</ns3:t>
          </ns3:r>
          <ns3:sSub>
            <ns3:e>
              <ns3:r>
                <ns3:rPr>
                  <ns3:sty ns3:val="p"/>
                </ns3:rPr>
                <ns3:t>Ψ</ns3:t>
              </ns3:r>
            </ns3:e>
            <ns3:sub>
              <ns3:r>
                <ns3:t>f</ns3:t>
              </ns3:r>
            </ns3:sub>
          </ns3:sSub>
          <ns3:r>
            <ns3:rPr>
              <ns3:sty ns3:val="p"/>
            </ns3:rPr>
            <ns3:t>(</ns3:t>
          </ns3:r>
          <ns3:sSub>
            <ns3:e>
              <ns3:r>
                <ns3:t>x</ns3:t>
              </ns3:r>
            </ns3:e>
            <ns3:sub>
              <ns3:r>
                <ns3:rPr>
                  <ns3:nor/>
                  <ns3:sty ns3:val="p"/>
                </ns3:rPr>
                <ns3:t>act</ns3:t>
              </ns3:r>
            </ns3:sub>
          </ns3:sSub>
          <ns3:r>
            <ns3:rPr>
              <ns3:sty ns3:val="p"/>
            </ns3:rPr>
            <ns3:t>;</ns3:t>
          </ns3:r>
          <ns3:r>
            <ns3:t>θ</ns3:t>
          </ns3:r>
          <ns3:r>
            <ns3:rPr>
              <ns3:sty ns3:val="p"/>
            </ns3:rPr>
            <ns3:t>)</ns3:t>
          </ns3:r>
          <ns3:r>
            <ns3:rPr>
              <ns3:sty ns3:val="p"/>
            </ns3:rPr>
            <ns3:t>−</ns3:t>
          </ns3:r>
          <ns3:r>
            <ns3:t>γ</ns3:t>
          </ns3:r>
          <ns3:r>
            <ns3:rPr>
              <ns3:sty ns3:val="p"/>
            </ns3:rPr>
            <ns3:t>⋅</ns3:t>
          </ns3:r>
          <ns3:sSub>
            <ns3:e>
              <ns3:r>
                <ns3:t>S</ns3:t>
              </ns3:r>
            </ns3:e>
            <ns3:sub>
              <ns3:r>
                <ns3:rPr>
                  <ns3:nor/>
                  <ns3:sty ns3:val="p"/>
                </ns3:rPr>
                <ns3:t>noise</ns3:t>
              </ns3:r>
            </ns3:sub>
          </ns3:sSub>
        </ns3:oMath>
      </ns3:oMathPara>
    </w:p>
    <w:p>
      <w:pPr>
        <w:pStyle w:val="FirstParagraph"/>
      </w:pPr>
      <w:r>
        <w:t xml:space="preserve">where</w:t>
      </w:r>
      <w:r>
        <w:t xml:space="preserve"> </w:t>
      </w: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is the</w:t>
      </w:r>
      <w:r>
        <w:t xml:space="preserve"> </w:t>
      </w:r>
      <w:r>
        <w:rPr>
          <w:i/>
          <w:iCs/>
        </w:rPr>
        <w:t xml:space="preserve">selection power</w:t>
      </w:r>
      <w:r>
        <w:t xml:space="preserve"> </w:t>
      </w:r>
      <w:r>
        <w:t xml:space="preserve">(the net control budget available for maintaining and extending the current active state),</w:t>
      </w:r>
      <w:r>
        <w:t xml:space="preserve"> </w:t>
      </w:r>
      <ns3:oMath>
        <ns3:sSub>
          <ns3:e>
            <ns3:r>
              <ns3:rPr>
                <ns3:sty ns3:val="p"/>
              </ns3:rPr>
              <ns3:t>Ψ</ns3:t>
            </ns3:r>
          </ns3:e>
          <ns3:sub>
            <ns3:r>
              <ns3:t>f</ns3:t>
            </ns3:r>
          </ns3:sub>
        </ns3:sSub>
      </ns3:oMath>
      <w:r>
        <w:t xml:space="preserve"> </w:t>
      </w:r>
      <w:r>
        <w:t xml:space="preserve">is the friction cost,</w:t>
      </w:r>
      <w:r>
        <w:t xml:space="preserve"> </w:t>
      </w:r>
      <ns3:oMath>
        <ns3:sSub>
          <ns3:e>
            <ns3:r>
              <ns3:t>S</ns3:t>
            </ns3:r>
          </ns3:e>
          <ns3:sub>
            <ns3:r>
              <ns3:rPr>
                <ns3:nor/>
                <ns3:sty ns3:val="p"/>
              </ns3:rPr>
              <ns3:t>noise</ns3:t>
            </ns3:r>
          </ns3:sub>
        </ns3:sSub>
      </ns3:oMath>
      <w:r>
        <w:t xml:space="preserve"> </w:t>
      </w:r>
      <w:r>
        <w:t xml:space="preserve">is the environmental noise entropy, and</w:t>
      </w:r>
      <w:r>
        <w:t xml:space="preserve"> </w:t>
      </w:r>
      <ns3:oMath>
        <ns3:r>
          <ns3:t>α</ns3:t>
        </ns3:r>
        <ns3:r>
          <ns3:rPr>
            <ns3:sty ns3:val="p"/>
          </ns3:rPr>
          <ns3:t>,</ns3:t>
        </ns3:r>
        <ns3:r>
          <ns3:t>β</ns3:t>
        </ns3:r>
        <ns3:r>
          <ns3:rPr>
            <ns3:sty ns3:val="p"/>
          </ns3:rPr>
          <ns3:t>,</ns3:t>
        </ns3:r>
        <ns3:r>
          <ns3:t>γ</ns3:t>
        </ns3:r>
        <ns3:r>
          <ns3:rPr>
            <ns3:sty ns3:val="p"/>
          </ns3:rPr>
          <ns3:t>&gt;</ns3:t>
        </ns3:r>
        <ns3:r>
          <ns3:t>0</ns3:t>
        </ns3:r>
      </ns3:oMath>
      <w:r>
        <w:t xml:space="preserve"> </w:t>
      </w:r>
      <w:r>
        <w:t xml:space="preserve">are coupling constants.</w:t>
      </w:r>
    </w:p>
    <w:p>
      <w:pPr>
        <w:pStyle w:val="BodyText"/>
      </w:pPr>
      <w:r>
        <w:t xml:space="preserve">This inequality is the master budget constraint of the present framework. It states that an agent’s capacity to maintain or increase order in its active control state is bounded by available selection power minus friction and noise costs. In early-phase experiments,</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is treated as a boundary variable rather than a mandatory primary endpoint; optional operationalizations include compression ratio, entropy-rate surrogates, or task-state stability metrics. When</w:t>
      </w:r>
      <w:r>
        <w:t xml:space="preserve"> </w:t>
      </w:r>
      <ns3:oMath>
        <ns3:sSub>
          <ns3:e>
            <ns3:r>
              <ns3:t>P</ns3:t>
            </ns3:r>
          </ns3:e>
          <ns3:sub>
            <ns3:r>
              <ns3:rPr>
                <ns3:nor/>
                <ns3:sty ns3:val="p"/>
              </ns3:rPr>
              <ns3:t>sel</ns3:t>
            </ns3:r>
          </ns3:sub>
        </ns3:sSub>
        <ns3:r>
          <ns3:rPr>
            <ns3:sty ns3:val="p"/>
          </ns3:rPr>
          <ns3:t>&lt;</ns3:t>
        </ns3:r>
        <ns3:r>
          <ns3:t>β</ns3:t>
        </ns3:r>
        <ns3:r>
          <ns3:rPr>
            <ns3:sty ns3:val="p"/>
          </ns3:rPr>
          <ns3:t>⋅</ns3:t>
        </ns3:r>
        <ns3:sSub>
          <ns3:e>
            <ns3:r>
              <ns3:rPr>
                <ns3:sty ns3:val="p"/>
              </ns3:rPr>
              <ns3:t>Ψ</ns3:t>
            </ns3:r>
          </ns3:e>
          <ns3:sub>
            <ns3:r>
              <ns3:t>f</ns3:t>
            </ns3:r>
          </ns3:sub>
        </ns3:sSub>
        <ns3:r>
          <ns3:rPr>
            <ns3:sty ns3:val="p"/>
          </ns3:rPr>
          <ns3:t>+</ns3:t>
        </ns3:r>
        <ns3:r>
          <ns3:t>γ</ns3:t>
        </ns3:r>
        <ns3:r>
          <ns3:rPr>
            <ns3:sty ns3:val="p"/>
          </ns3:rPr>
          <ns3:t>⋅</ns3:t>
        </ns3:r>
        <ns3:sSub>
          <ns3:e>
            <ns3:r>
              <ns3:t>S</ns3:t>
            </ns3:r>
          </ns3:e>
          <ns3:sub>
            <ns3:r>
              <ns3:rPr>
                <ns3:nor/>
                <ns3:sty ns3:val="p"/>
              </ns3:rPr>
              <ns3:t>noise</ns3:t>
            </ns3:r>
          </ns3:sub>
        </ns3:sSub>
      </ns3:oMath>
      <w:r>
        <w:t xml:space="preserve">, the system enters</w:t>
      </w:r>
      <w:r>
        <w:t xml:space="preserve"> </w:t>
      </w:r>
      <w:r>
        <w:rPr>
          <w:i/>
          <w:iCs/>
        </w:rPr>
        <w:t xml:space="preserve">order collapse</w:t>
      </w:r>
      <w:r>
        <w:t xml:space="preserve"> </w:t>
      </w:r>
      <w:r>
        <w:t xml:space="preserve">(</w:t>
      </w:r>
      <ns3:oMath>
        <ns3:r>
          <ns3:t>d</ns3:t>
        </ns3:r>
        <ns3:r>
          <ns3:t>q</ns3:t>
        </ns3:r>
        <ns3:r>
          <ns3:rPr>
            <ns3:sty ns3:val="p"/>
          </ns3:rPr>
          <ns3:t>/</ns3:t>
        </ns3:r>
        <ns3:r>
          <ns3:t>d</ns3:t>
        </ns3:r>
        <ns3:r>
          <ns3:t>t</ns3:t>
        </ns3:r>
        <ns3:r>
          <ns3:rPr>
            <ns3:sty ns3:val="p"/>
          </ns3:rPr>
          <ns3:t>&lt;</ns3:t>
        </ns3:r>
        <ns3:r>
          <ns3:t>0</ns3:t>
        </ns3:r>
      </ns3:oMath>
      <w:r>
        <w:t xml:space="preserve">), manifesting as cognitive disorganization or executive failure.</w:t>
      </w:r>
    </w:p>
    <w:p>
      <w:pPr>
        <w:pStyle w:val="BodyText"/>
      </w:pPr>
      <w:r>
        <w:rPr>
          <w:b/>
          <w:bCs/>
        </w:rPr>
        <w:t xml:space="preserve">Definition 4 (Parameter Dynamics).</w:t>
      </w:r>
      <w:r>
        <w:t xml:space="preserve"> </w:t>
      </w:r>
      <w:r>
        <w:t xml:space="preserve">The embodiment parameters</w:t>
      </w:r>
      <w:r>
        <w:t xml:space="preserve"> </w:t>
      </w:r>
      <ns3:oMath>
        <ns3:r>
          <ns3:t>θ</ns3:t>
        </ns3:r>
      </ns3:oMath>
      <w:r>
        <w:t xml:space="preserve"> </w:t>
      </w:r>
      <w:r>
        <w:t xml:space="preserve">evolve under three competing pressures: error-driven learning, friction-potential descent, and homeostatic recoil. Because none of the five phase-1/2 hypotheses directly test these slow dynamics (which operate over weeks to months rather than within-session timescales), the formal equation is presented in Appendix B. For present purposes, the key implication is that therapeutic interventions can be modeled as modifying either the learning rate, the friction landscape, or the homeostatic set point — distinctions that become empirically testable only in longitudinal treatment designs beyond the scope of the current validation roadmap.</w:t>
      </w:r>
    </w:p>
    <w:bookmarkEnd w:id="16"/>
    <w:bookmarkStart w:id="17" w:name="Xb681a00820f589f5ebdfd0e606c1c6264096cde"/>
    <w:p>
      <w:pPr>
        <w:pStyle w:val="Heading3"/>
      </w:pPr>
      <w:r>
        <w:t xml:space="preserve">2.3 The Knowing–Doing Gap as Bandwidth Saturation</w:t>
      </w:r>
    </w:p>
    <w:p>
      <w:pPr>
        <w:pStyle w:val="FirstParagraph"/>
      </w:pPr>
      <w:r>
        <w:t xml:space="preserve">The knowing–doing gap emerges naturally from the selection-budget inequality (Equation 5). Consider an agent whose slow constraints and learned model correctly specify the appropriate action — the patient who knows she should exercise, the surgeon who knows the next step of the procedure. The knowledge representation is intact.</w:t>
      </w:r>
    </w:p>
    <w:p>
      <w:pPr>
        <w:pStyle w:val="BodyText"/>
      </w:pPr>
      <w:r>
        <w:t xml:space="preserve">Throughout this manuscript,</w:t>
      </w:r>
      <w:r>
        <w:t xml:space="preserve"> </w:t>
      </w:r>
      <w:r>
        <w:rPr>
          <w:b/>
          <w:bCs/>
        </w:rPr>
        <w:t xml:space="preserve">selection power</w:t>
      </w:r>
      <w:r>
        <w:t xml:space="preserve"> </w:t>
      </w:r>
      <w:r>
        <w:t xml:space="preserve">(</w:t>
      </w:r>
      <ns3:oMath>
        <ns3:sSub>
          <ns3:e>
            <ns3:r>
              <ns3:t>P</ns3:t>
            </ns3:r>
          </ns3:e>
          <ns3:sub>
            <ns3:r>
              <ns3:rPr>
                <ns3:nor/>
                <ns3:sty ns3:val="p"/>
              </ns3:rPr>
              <ns3:t>sel</ns3:t>
            </ns3:r>
          </ns3:sub>
        </ns3:sSub>
      </ns3:oMath>
      <w:r>
        <w:t xml:space="preserve">) is the primary term;</w:t>
      </w:r>
      <w:r>
        <w:t xml:space="preserve"> </w:t>
      </w:r>
      <w:r>
        <w:t xml:space="preserve">“bandwidth”</w:t>
      </w:r>
      <w:r>
        <w:t xml:space="preserve"> </w:t>
      </w:r>
      <w:r>
        <w:t xml:space="preserve">is used only as an informal synonym for residual selection capacity.</w:t>
      </w:r>
    </w:p>
    <w:p>
      <w:pPr>
        <w:pStyle w:val="BodyText"/>
      </w:pPr>
      <w:r>
        <w:t xml:space="preserve">However,</w:t>
      </w:r>
      <w:r>
        <w:t xml:space="preserve"> </w:t>
      </w:r>
      <w:r>
        <w:rPr>
          <w:i/>
          <w:iCs/>
        </w:rPr>
        <w:t xml:space="preserve">implementing</w:t>
      </w:r>
      <w:r>
        <w:t xml:space="preserve"> </w:t>
      </w:r>
      <w:r>
        <w:t xml:space="preserve">this knowledge requires converting it into an active action state through a resource-bounded selection or gating process. This conversion consumes selection power</w:t>
      </w:r>
      <w:r>
        <w:t xml:space="preserve"> </w:t>
      </w:r>
      <ns3:oMath>
        <ns3:sSub>
          <ns3:e>
            <ns3:r>
              <ns3:t>P</ns3:t>
            </ns3:r>
          </ns3:e>
          <ns3:sub>
            <ns3:r>
              <ns3:rPr>
                <ns3:nor/>
                <ns3:sty ns3:val="p"/>
              </ns3:rPr>
              <ns3:t>sel</ns3:t>
            </ns3:r>
          </ns3:sub>
        </ns3:sSub>
      </ns3:oMath>
      <w:r>
        <w:t xml:space="preserve"> </w:t>
      </w:r>
      <w:r>
        <w:t xml:space="preserve">and incurs executive friction</w:t>
      </w:r>
      <w:r>
        <w:t xml:space="preserve"> </w:t>
      </w:r>
      <ns3:oMath>
        <ns3:sSub>
          <ns3:e>
            <ns3:r>
              <ns3:rPr>
                <ns3:sty ns3:val="p"/>
              </ns3:rPr>
              <ns3:t>Ψ</ns3:t>
            </ns3:r>
          </ns3:e>
          <ns3:sub>
            <ns3:r>
              <ns3:t>f</ns3:t>
            </ns3:r>
          </ns3:sub>
        </ns3:sSub>
      </ns3:oMath>
      <w:r>
        <w:t xml:space="preserve">. When the agent is already operating under high baseline friction — due to chronic stress, neurodegeneration, or pathological parameter configurations — the remaining selection power may be insufficient to execute the known action.</w:t>
      </w:r>
    </w:p>
    <w:p>
      <w:pPr>
        <w:pStyle w:val="BodyText"/>
      </w:pPr>
      <w:r>
        <w:t xml:space="preserve">Formally, the agent enters the knowing–doing gap when:</w:t>
      </w:r>
    </w:p>
    <w:p>
      <w:pPr>
        <w:pStyle w:val="BodyText"/>
      </w:pPr>
      <ns3:oMathPara>
        <ns3:oMathParaPr>
          <ns3:jc ns3:val="center"/>
        </ns3:oMathParaPr>
        <ns3:oMath>
          <ns3:sSubSup>
            <ns3:e>
              <ns3:r>
                <ns3:t>P</ns3:t>
              </ns3:r>
            </ns3:e>
            <ns3:sub>
              <ns3:r>
                <ns3:rPr>
                  <ns3:nor/>
                  <ns3:sty ns3:val="p"/>
                </ns3:rPr>
                <ns3:t>sel</ns3:t>
              </ns3:r>
            </ns3:sub>
            <ns3:sup>
              <ns3:r>
                <ns3:rPr>
                  <ns3:nor/>
                  <ns3:sty ns3:val="p"/>
                </ns3:rPr>
                <ns3:t>residual</ns3:t>
              </ns3:r>
            </ns3:sup>
          </ns3:sSubSup>
          <ns3:r>
            <ns3:rPr>
              <ns3:sty ns3:val="p"/>
            </ns3:rPr>
            <ns3:t>=</ns3:t>
          </ns3:r>
          <ns3:sSub>
            <ns3:e>
              <ns3:r>
                <ns3:t>P</ns3:t>
              </ns3:r>
            </ns3:e>
            <ns3:sub>
              <ns3:r>
                <ns3:rPr>
                  <ns3:nor/>
                  <ns3:sty ns3:val="p"/>
                </ns3:rPr>
                <ns3:t>sel</ns3:t>
              </ns3:r>
            </ns3:sub>
          </ns3:sSub>
          <ns3:r>
            <ns3:rPr>
              <ns3:sty ns3:val="p"/>
            </ns3:rPr>
            <ns3:t>−</ns3:t>
          </ns3:r>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&lt;</ns3:t>
          </ns3:r>
          <ns3:sSubSup>
            <ns3:e>
              <ns3:r>
                <ns3:rPr>
                  <ns3:sty ns3:val="p"/>
                </ns3:rPr>
                <ns3:t>Ψ</ns3:t>
              </ns3:r>
            </ns3:e>
            <ns3:sub>
              <ns3:r>
                <ns3:t>f</ns3:t>
              </ns3:r>
            </ns3:sub>
            <ns3:sup>
              <ns3:r>
                <ns3:rPr>
                  <ns3:nor/>
                  <ns3:sty ns3:val="p"/>
                </ns3:rPr>
                <ns3:t>action</ns3:t>
              </ns3:r>
            </ns3:sup>
          </ns3:sSubSup>
        </ns3:oMath>
      </ns3:oMathPara>
    </w:p>
    <w:p>
      <w:pPr>
        <w:pStyle w:val="FirstParagraph"/>
      </w:pPr>
      <w:r>
        <w:t xml:space="preserve">where</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is the friction cost of maintaining the current state, and</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is the additional friction cost of initiating the target action. The agent’s learned model is intact (she</w:t>
      </w:r>
      <w:r>
        <w:t xml:space="preserve"> </w:t>
      </w:r>
      <w:r>
        <w:t xml:space="preserve">“knows”</w:t>
      </w:r>
      <w:r>
        <w:t xml:space="preserve">), but the selection/gating system lacks the residual capacity to execute (she</w:t>
      </w:r>
      <w:r>
        <w:t xml:space="preserve"> </w:t>
      </w:r>
      <w:r>
        <w:t xml:space="preserve">“can’t do”</w:t>
      </w:r>
      <w:r>
        <w:t xml:space="preserve">).</w:t>
      </w:r>
    </w:p>
    <w:p>
      <w:pPr>
        <w:pStyle w:val="BodyText"/>
      </w:pPr>
      <w:r>
        <w:t xml:space="preserve">This formulation makes a specific prediction: the knowing–doing gap should be</w:t>
      </w:r>
      <w:r>
        <w:t xml:space="preserve"> </w:t>
      </w:r>
      <w:r>
        <w:rPr>
          <w:i/>
          <w:iCs/>
        </w:rPr>
        <w:t xml:space="preserve">nonlinearly</w:t>
      </w:r>
      <w:r>
        <w:t xml:space="preserve"> </w:t>
      </w:r>
      <w:r>
        <w:t xml:space="preserve">related to baseline friction load. At low</w:t>
      </w:r>
      <w:r>
        <w:t xml:space="preserve"> </w:t>
      </w:r>
      <ns3:oMath>
        <ns3:sSubSup>
          <ns3:e>
            <ns3:r>
              <ns3:rPr>
                <ns3:sty ns3:val="p"/>
              </ns3:rPr>
              <ns3:t>Ψ</ns3:t>
            </ns3:r>
          </ns3:e>
          <ns3:sub>
            <ns3:r>
              <ns3:t>f</ns3:t>
            </ns3:r>
          </ns3:sub>
          <ns3:sup>
            <ns3:r>
              <ns3:rPr>
                <ns3:nor/>
                <ns3:sty ns3:val="p"/>
              </ns3:rPr>
              <ns3:t>baseline</ns3:t>
            </ns3:r>
          </ns3:sup>
        </ns3:sSubSup>
      </ns3:oMath>
      <w:r>
        <w:t xml:space="preserve">, adding task demands produces proportional increases in task-switching cost (linear regime). As</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approaches</w:t>
      </w:r>
      <w:r>
        <w:t xml:space="preserve"> </w:t>
      </w:r>
      <ns3:oMath>
        <ns3:sSub>
          <ns3:e>
            <ns3:r>
              <ns3:t>P</ns3:t>
            </ns3:r>
          </ns3:e>
          <ns3:sub>
            <ns3:r>
              <ns3:rPr>
                <ns3:nor/>
                <ns3:sty ns3:val="p"/>
              </ns3:rPr>
              <ns3:t>sel</ns3:t>
            </ns3:r>
          </ns3:sub>
        </ns3:sSub>
      </ns3:oMath>
      <w:r>
        <w:t xml:space="preserve">, small additional demands produce steep performance collapse (saturation regime).</w:t>
      </w:r>
    </w:p>
    <w:p>
      <w:pPr>
        <w:pStyle w:val="BodyText"/>
      </w:pPr>
      <w:r>
        <w:t xml:space="preserve">To parameterize this as a fit-ready critical phenomenon, define normalized control load:</w:t>
      </w:r>
    </w:p>
    <w:p>
      <w:pPr>
        <w:pStyle w:val="BodyText"/>
      </w:pPr>
      <ns3:oMathPara>
        <ns3:oMathParaPr>
          <ns3:jc ns3:val="center"/>
        </ns3:oMathParaPr>
        <ns3:oMath>
          <ns3:r>
            <ns3:t>ρ</ns3:t>
          </ns3:r>
          <ns3:r>
            <ns3:rPr>
              <ns3:sty ns3:val="p"/>
            </ns3:rPr>
            <ns3:t>(</ns3:t>
          </ns3:r>
          <ns3:r>
            <ns3:t>t</ns3:t>
          </ns3:r>
          <ns3:r>
            <ns3:rPr>
              <ns3:sty ns3:val="p"/>
            </ns3:rPr>
            <ns3:t>)</ns3:t>
          </ns3:r>
          <ns3:r>
            <ns3:rPr>
              <ns3:sty ns3:val="p"/>
            </ns3:rPr>
            <ns3:t>=</ns3:t>
          </ns3:r>
          <ns3:f>
            <ns3:fPr>
              <ns3:type ns3:val="bar"/>
            </ns3:fPr>
            <ns3:num>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ns3:t>
              </ns3:r>
              <ns3:r>
                <ns3:t>t</ns3:t>
              </ns3:r>
              <ns3:r>
                <ns3:rPr>
                  <ns3:sty ns3:val="p"/>
                </ns3:rPr>
                <ns3:t>)</ns3:t>
              </ns3:r>
            </ns3:num>
            <ns3:den>
              <ns3:sSub>
                <ns3:e>
                  <ns3:r>
                    <ns3:t>P</ns3:t>
                  </ns3:r>
                </ns3:e>
                <ns3:sub>
                  <ns3:r>
                    <ns3:rPr>
                      <ns3:nor/>
                      <ns3:sty ns3:val="p"/>
                    </ns3:rPr>
                    <ns3:t>sel</ns3:t>
                  </ns3:r>
                </ns3:sub>
              </ns3:sSub>
              <ns3:r>
                <ns3:rPr>
                  <ns3:sty ns3:val="p"/>
                </ns3:rPr>
                <ns3:t>(</ns3:t>
              </ns3:r>
              <ns3:r>
                <ns3:t>t</ns3:t>
              </ns3:r>
              <ns3:r>
                <ns3:rPr>
                  <ns3:sty ns3:val="p"/>
                </ns3:rPr>
                <ns3:t>)</ns3:t>
              </ns3:r>
            </ns3:den>
          </ns3:f>
        </ns3:oMath>
      </ns3:oMathPara>
    </w:p>
    <w:p>
      <w:pPr>
        <w:pStyle w:val="FirstParagraph"/>
      </w:pPr>
      <w:r>
        <w:t xml:space="preserve">and model switch cost with a changepoint:</w:t>
      </w:r>
    </w:p>
    <w:p>
      <w:pPr>
        <w:pStyle w:val="BodyText"/>
      </w:pPr>
      <ns3:oMathPara>
        <ns3:oMathParaPr>
          <ns3:jc ns3:val="center"/>
        </ns3:oMathParaPr>
        <ns3:oMath>
          <ns3:sSub>
            <ns3:e>
              <ns3:r>
                <ns3:t>C</ns3:t>
              </ns3:r>
            </ns3:e>
            <ns3:sub>
              <ns3:r>
                <ns3:rPr>
                  <ns3:nor/>
                  <ns3:sty ns3:val="p"/>
                </ns3:rPr>
                <ns3:t>switch</ns3:t>
              </ns3:r>
            </ns3:sub>
          </ns3:sSub>
          <ns3:r>
            <ns3:rPr>
              <ns3:sty ns3:val="p"/>
            </ns3:rPr>
            <ns3:t>(</ns3:t>
          </ns3:r>
          <ns3:r>
            <ns3:t>ρ</ns3:t>
          </ns3:r>
          <ns3:r>
            <ns3:rPr>
              <ns3:sty ns3:val="p"/>
            </ns3:rPr>
            <ns3:t>)</ns3:t>
          </ns3:r>
          <ns3:r>
            <ns3:rPr>
              <ns3:sty ns3:val="p"/>
            </ns3:rPr>
            <ns3:t>=</ns3:t>
          </ns3:r>
          <ns3:sSub>
            <ns3:e>
              <ns3:r>
                <ns3:t>c</ns3:t>
              </ns3:r>
            </ns3:e>
            <ns3:sub>
              <ns3:r>
                <ns3:t>0</ns3:t>
              </ns3:r>
            </ns3:sub>
          </ns3:sSub>
          <ns3:r>
            <ns3:rPr>
              <ns3:sty ns3:val="p"/>
            </ns3:rPr>
            <ns3:t>+</ns3:t>
          </ns3:r>
          <ns3:sSub>
            <ns3:e>
              <ns3:r>
                <ns3:t>c</ns3:t>
              </ns3:r>
            </ns3:e>
            <ns3:sub>
              <ns3:r>
                <ns3:t>1</ns3:t>
              </ns3:r>
            </ns3:sub>
          </ns3:sSub>
          <ns3:r>
            <ns3:t>ρ</ns3:t>
          </ns3:r>
          <ns3:r>
            <ns3:rPr>
              <ns3:sty ns3:val="p"/>
            </ns3:rPr>
            <ns3:t>+</ns3:t>
          </ns3:r>
          <ns3:sSub>
            <ns3:e>
              <ns3:r>
                <ns3:t>c</ns3:t>
              </ns3:r>
            </ns3:e>
            <ns3:sub>
              <ns3:r>
                <ns3:t>2</ns3:t>
              </ns3:r>
            </ns3:sub>
          </ns3:sSub>
          <ns3:r>
            <ns3:rPr>
              <ns3:sty ns3:val="p"/>
            </ns3:rPr>
            <ns3:t>(</ns3:t>
          </ns3:r>
          <ns3:r>
            <ns3:t>ρ</ns3:t>
          </ns3:r>
          <ns3:r>
            <ns3:rPr>
              <ns3:sty ns3:val="p"/>
            </ns3:rPr>
            <ns3:t>−</ns3:t>
          </ns3:r>
          <ns3:sSub>
            <ns3:e>
              <ns3:r>
                <ns3:t>ρ</ns3:t>
              </ns3:r>
            </ns3:e>
            <ns3:sub>
              <ns3:r>
                <ns3:t>c</ns3:t>
              </ns3:r>
            </ns3:sub>
          </ns3:sSub>
          <ns3:sSubSup>
            <ns3:e>
              <ns3:r>
                <ns3:rPr>
                  <ns3:sty ns3:val="p"/>
                </ns3:rPr>
                <ns3:t>)</ns3:t>
              </ns3:r>
            </ns3:e>
            <ns3:sub>
              <ns3:r>
                <ns3:rPr>
                  <ns3:sty ns3:val="p"/>
                </ns3:rPr>
                <ns3:t>+</ns3:t>
              </ns3:r>
            </ns3:sub>
            <ns3:sup>
              <ns3:r>
                <ns3:t>2</ns3:t>
              </ns3:r>
            </ns3:sup>
          </ns3:sSubSup>
          <ns3:r>
            <ns3:rPr>
              <ns3:sty ns3:val="p"/>
            </ns3:rPr>
            <ns3:t>,</ns3:t>
          </ns3:r>
          <ns3:r>
            <ns3:t> </ns3:t>
          </ns3:r>
          <ns3:r>
            <ns3:rPr>
              <ns3:sty ns3:val="p"/>
            </ns3:rPr>
            <ns3:t>(</ns3:t>
          </ns3:r>
          <ns3:r>
            <ns3:t>x</ns3:t>
          </ns3:r>
          <ns3:sSub>
            <ns3:e>
              <ns3:r>
                <ns3:rPr>
                  <ns3:sty ns3:val="p"/>
                </ns3:rPr>
                <ns3:t>)</ns3:t>
              </ns3:r>
            </ns3:e>
            <ns3:sub>
              <ns3:r>
                <ns3:rPr>
                  <ns3:sty ns3:val="p"/>
                </ns3:rPr>
                <ns3:t>+</ns3:t>
              </ns3:r>
            </ns3:sub>
          </ns3:sSub>
          <ns3:r>
            <ns3:rPr>
              <ns3:sty ns3:val="p"/>
            </ns3:rPr>
            <ns3:t>=</ns3:t>
          </ns3:r>
          <ns3:r>
            <ns3:rPr>
              <ns3:sty ns3:val="p"/>
            </ns3:rPr>
            <ns3:t>max</ns3:t>
          </ns3:r>
          <ns3:r>
            <ns3:rPr>
              <ns3:sty ns3:val="p"/>
            </ns3:rPr>
            <ns3:t>(</ns3:t>
          </ns3:r>
          <ns3:r>
            <ns3:t>x</ns3:t>
          </ns3:r>
          <ns3:r>
            <ns3:rPr>
              <ns3:sty ns3:val="p"/>
            </ns3:rPr>
            <ns3:t>,</ns3:t>
          </ns3:r>
          <ns3:r>
            <ns3:t>0</ns3:t>
          </ns3:r>
          <ns3:r>
            <ns3:rPr>
              <ns3:sty ns3:val="p"/>
            </ns3:rPr>
            <ns3:t>)</ns3:t>
          </ns3:r>
        </ns3:oMath>
      </ns3:oMathPara>
    </w:p>
    <w:p>
      <w:pPr>
        <w:pStyle w:val="FirstParagraph"/>
      </w:pPr>
      <w:r>
        <w:t xml:space="preserve">where</w:t>
      </w:r>
      <w:r>
        <w:t xml:space="preserve"> </w:t>
      </w:r>
      <ns3:oMath>
        <ns3:sSub>
          <ns3:e>
            <ns3:r>
              <ns3:t>ρ</ns3:t>
            </ns3:r>
          </ns3:e>
          <ns3:sub>
            <ns3:r>
              <ns3:t>c</ns3:t>
            </ns3:r>
          </ns3:sub>
        </ns3:sSub>
      </ns3:oMath>
      <w:r>
        <w:t xml:space="preserve"> </w:t>
      </w:r>
      <w:r>
        <w:t xml:space="preserve">is the estimated critical point. The model predicts a stable linear region for</w:t>
      </w:r>
      <w:r>
        <w:t xml:space="preserve"> </w:t>
      </w:r>
      <ns3:oMath>
        <ns3:r>
          <ns3:t>ρ</ns3:t>
        </ns3:r>
        <ns3:r>
          <ns3:rPr>
            <ns3:sty ns3:val="p"/>
          </ns3:rPr>
          <ns3:t>&lt;</ns3:t>
        </ns3:r>
        <ns3:sSub>
          <ns3:e>
            <ns3:r>
              <ns3:t>ρ</ns3:t>
            </ns3:r>
          </ns3:e>
          <ns3:sub>
            <ns3:r>
              <ns3:t>c</ns3:t>
            </ns3:r>
          </ns3:sub>
        </ns3:sSub>
      </ns3:oMath>
      <w:r>
        <w:t xml:space="preserve"> </w:t>
      </w:r>
      <w:r>
        <w:t xml:space="preserve">and accelerated cost growth for</w:t>
      </w:r>
      <w:r>
        <w:t xml:space="preserve"> </w:t>
      </w:r>
      <ns3:oMath>
        <ns3:r>
          <ns3:t>ρ</ns3:t>
        </ns3:r>
        <ns3:r>
          <ns3:rPr>
            <ns3:sty ns3:val="p"/>
          </ns3:rPr>
          <ns3:t>≥</ns3:t>
        </ns3:r>
        <ns3:sSub>
          <ns3:e>
            <ns3:r>
              <ns3:t>ρ</ns3:t>
            </ns3:r>
          </ns3:e>
          <ns3:sub>
            <ns3:r>
              <ns3:t>c</ns3:t>
            </ns3:r>
          </ns3:sub>
        </ns3:sSub>
      </ns3:oMath>
      <w:r>
        <w:t xml:space="preserve">, with</w:t>
      </w:r>
      <w:r>
        <w:t xml:space="preserve"> </w:t>
      </w:r>
      <ns3:oMath>
        <ns3:sSub>
          <ns3:e>
            <ns3:r>
              <ns3:t>ρ</ns3:t>
            </ns3:r>
          </ns3:e>
          <ns3:sub>
            <ns3:r>
              <ns3:t>c</ns3:t>
            </ns3:r>
          </ns3:sub>
        </ns3:sSub>
      </ns3:oMath>
      <w:r>
        <w:t xml:space="preserve"> </w:t>
      </w:r>
      <w:r>
        <w:t xml:space="preserve">expected in a high-load band near resource saturation. Empirically,</w:t>
      </w:r>
      <w:r>
        <w:t xml:space="preserve"> </w:t>
      </w:r>
      <ns3:oMath>
        <ns3:sSub>
          <ns3:e>
            <ns3:r>
              <ns3:t>ρ</ns3:t>
            </ns3:r>
          </ns3:e>
          <ns3:sub>
            <ns3:r>
              <ns3:t>c</ns3:t>
            </ns3:r>
          </ns3:sub>
        </ns3:sSub>
      </ns3:oMath>
      <w:r>
        <w:t xml:space="preserve"> </w:t>
      </w:r>
      <w:r>
        <w:t xml:space="preserve">can be estimated via segmented regression, threshold mixed models, or Bayesian changepoint inference.</w:t>
      </w:r>
    </w:p>
    <w:bookmarkEnd w:id="17"/>
    <w:bookmarkStart w:id="18" w:name="Xc654fdd254663b10905527ca15cc4f7934cc646"/>
    <w:p>
      <w:pPr>
        <w:pStyle w:val="Heading3"/>
      </w:pPr>
      <w:r>
        <w:t xml:space="preserve">2.4 Relationship to Predictive Processing and Free Energy Minimization</w:t>
      </w:r>
    </w:p>
    <w:p>
      <w:pPr>
        <w:pStyle w:val="FirstParagraph"/>
      </w:pPr>
      <ns3:oMath>
        <ns3:sSub>
          <ns3:e>
            <ns3:r>
              <ns3:rPr>
                <ns3:sty ns3:val="p"/>
              </ns3:rPr>
              <ns3:t>Ψ</ns3:t>
            </ns3:r>
          </ns3:e>
          <ns3:sub>
            <ns3:r>
              <ns3:t>f</ns3:t>
            </ns3:r>
          </ns3:sub>
        </ns3:sSub>
      </ns3:oMath>
      <w:r>
        <w:t xml:space="preserve"> </w:t>
      </w:r>
      <w:r>
        <w:t xml:space="preserve">bears a formal relationship to the complexity term in variational free energy. In the FEP framework, the variational free energy</w:t>
      </w:r>
      <w:r>
        <w:t xml:space="preserve"> </w:t>
      </w:r>
      <ns3:oMath>
        <ns3:r>
          <ns3:t>F</ns3:t>
        </ns3:r>
      </ns3:oMath>
      <w:r>
        <w:t xml:space="preserve"> </w:t>
      </w:r>
      <w:r>
        <w:t xml:space="preserve">decomposes as:</w:t>
      </w:r>
    </w:p>
    <w:p>
      <w:pPr>
        <w:pStyle w:val="BodyText"/>
      </w:pPr>
      <ns3:oMathPara>
        <ns3:oMathParaPr>
          <ns3:jc ns3:val="center"/>
        </ns3:oMathParaPr>
        <ns3:oMath>
          <ns3:r>
            <ns3:t>F</ns3:t>
          </ns3:r>
          <ns3:r>
            <ns3:rPr>
              <ns3:sty ns3:val="p"/>
            </ns3:rPr>
            <ns3:t>=</ns3:t>
          </ns3:r>
          <ns3:limLow>
            <ns3:e>
              <ns3:limLow>
                <ns3:e>
                  <ns3:sSub>
                    <ns3:e>
                      <ns3:r>
                        <ns3:t>D</ns3:t>
                      </ns3:r>
                    </ns3:e>
                    <ns3:sub>
                      <ns3:r>
                        <ns3:t>K</ns3:t>
                      </ns3:r>
                      <ns3:r>
                        <ns3:t>L</ns3:t>
                      </ns3:r>
                    </ns3:sub>
                  </ns3:sSub>
                  <ns3:r>
                    <ns3:rPr>
                      <ns3:sty ns3:val="p"/>
                    </ns3:rPr>
                    <ns3:t>[</ns3:t>
                  </ns3:r>
                  <ns3:r>
                    <ns3:t>Q</ns3:t>
                  </ns3:r>
                  <ns3:r>
                    <ns3:rPr>
                      <ns3:sty ns3:val="p"/>
                    </ns3:rPr>
                    <ns3:t>(</ns3:t>
                  </ns3:r>
                  <ns3:r>
                    <ns3:t>θ</ns3:t>
                  </ns3:r>
                  <ns3:r>
                    <ns3:rPr>
                      <ns3:sty ns3:val="p"/>
                    </ns3:rPr>
                    <ns3:t>)</ns3:t>
                  </ns3:r>
                  <ns3:r>
                    <ns3:rPr>
                      <ns3:sty ns3:val="p"/>
                    </ns3:rPr>
                    <ns3:t>∥</ns3:t>
                  </ns3:r>
                  <ns3:r>
                    <ns3:t>P</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Complexity</ns3:t>
              </ns3:r>
            </ns3:lim>
          </ns3:limLow>
          <ns3:r>
            <ns3:rPr>
              <ns3:sty ns3:val="p"/>
            </ns3:rPr>
            <ns3:t>−</ns3:t>
          </ns3:r>
          <ns3:limLow>
            <ns3:e>
              <ns3:limLow>
                <ns3:e>
                  <ns3:sSub>
                    <ns3:e>
                      <ns3:r>
                        <ns3:rPr>
                          <ns3:scr ns3:val="double-struck"/>
                          <ns3:sty ns3:val="p"/>
                        </ns3:rPr>
                        <ns3:t>E</ns3:t>
                      </ns3:r>
                    </ns3:e>
                    <ns3:sub>
                      <ns3:r>
                        <ns3:t>Q</ns3:t>
                      </ns3:r>
                    </ns3:sub>
                  </ns3:sSub>
                  <ns3:r>
                    <ns3:rPr>
                      <ns3:sty ns3:val="p"/>
                    </ns3:rPr>
                    <ns3:t>[</ns3:t>
                  </ns3:r>
                  <ns3:r>
                    <ns3:rPr>
                      <ns3:sty ns3:val="p"/>
                    </ns3:rPr>
                    <ns3:t>ln</ns3:t>
                  </ns3:r>
                  <ns3:r>
                    <ns3:t>P</ns3:t>
                  </ns3:r>
                  <ns3:r>
                    <ns3:rPr>
                      <ns3:sty ns3:val="p"/>
                    </ns3:rPr>
                    <ns3:t>(</ns3:t>
                  </ns3:r>
                  <ns3:r>
                    <ns3:rPr>
                      <ns3:nor/>
                      <ns3:sty ns3:val="p"/>
                    </ns3:rPr>
                    <ns3:t>data</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Accuracy</ns3:t>
              </ns3:r>
            </ns3:lim>
          </ns3:limLow>
        </ns3:oMath>
      </ns3:oMathPara>
    </w:p>
    <w:p>
      <w:pPr>
        <w:pStyle w:val="FirstParagraph"/>
      </w:pPr>
      <w:r>
        <w:t xml:space="preserve">The complexity term</w:t>
      </w:r>
      <w:r>
        <w:t xml:space="preserve">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w:t>
      </w:r>
      <w:r>
        <w:t xml:space="preserve">penalizes posteriors that deviate from priors — formally analogous to the information-geometric friction form in Equation (3d). In this reading,</w:t>
      </w:r>
      <w:r>
        <w:t xml:space="preserve"> </w:t>
      </w:r>
      <ns3:oMath>
        <ns3:sSub>
          <ns3:e>
            <ns3:r>
              <ns3:rPr>
                <ns3:sty ns3:val="p"/>
              </ns3:rPr>
              <ns3:t>Ψ</ns3:t>
            </ns3:r>
          </ns3:e>
          <ns3:sub>
            <ns3:r>
              <ns3:t>f</ns3:t>
            </ns3:r>
          </ns3:sub>
        </ns3:sSub>
      </ns3:oMath>
      <w:r>
        <w:t xml:space="preserve"> </w:t>
      </w:r>
      <w:r>
        <w:t xml:space="preserve">generalizes complexity cost by (a) accumulating over time, (b) applying to executed percept-action control rather than beliefs alone, and (c) linking to energetic budgets through Equation (5).</w:t>
      </w:r>
    </w:p>
    <w:p>
      <w:pPr>
        <w:pStyle w:val="BodyText"/>
      </w:pPr>
      <w:r>
        <w:t xml:space="preserve">The critical distinction between the present framework and standard FEP is in the normative implication. FEP implies that systems</w:t>
      </w:r>
      <w:r>
        <w:t xml:space="preserve"> </w:t>
      </w:r>
      <w:r>
        <w:rPr>
          <w:i/>
          <w:iCs/>
        </w:rPr>
        <w:t xml:space="preserve">should</w:t>
      </w:r>
      <w:r>
        <w:t xml:space="preserve"> </w:t>
      </w:r>
      <w:r>
        <w:t xml:space="preserve">minimize free energy and, by extension, minimize the complexity cost. The present framework allows that some states</w:t>
      </w:r>
      <w:r>
        <w:t xml:space="preserve"> </w:t>
      </w:r>
      <w:r>
        <w:rPr>
          <w:i/>
          <w:iCs/>
        </w:rPr>
        <w:t xml:space="preserve">require</w:t>
      </w:r>
      <w:r>
        <w:t xml:space="preserve"> </w:t>
      </w:r>
      <w:r>
        <w:t xml:space="preserve">sustained high</w:t>
      </w:r>
      <w:r>
        <w:t xml:space="preserve"> </w:t>
      </w:r>
      <ns3:oMath>
        <ns3:sSub>
          <ns3:e>
            <ns3:r>
              <ns3:rPr>
                <ns3:sty ns3:val="p"/>
              </ns3:rPr>
              <ns3:t>Ψ</ns3:t>
            </ns3:r>
          </ns3:e>
          <ns3:sub>
            <ns3:r>
              <ns3:t>f</ns3:t>
            </ns3:r>
          </ns3:sub>
        </ns3:sSub>
      </ns3:oMath>
      <w:r>
        <w:t xml:space="preserve"> </w:t>
      </w:r>
      <w:r>
        <w:t xml:space="preserve">— creative insight that resists premature closure, ethical choices that resist default heuristics, grief that maintains connection to the departed. In these cases, high</w:t>
      </w:r>
      <w:r>
        <w:t xml:space="preserve"> </w:t>
      </w:r>
      <ns3:oMath>
        <ns3:sSub>
          <ns3:e>
            <ns3:r>
              <ns3:rPr>
                <ns3:sty ns3:val="p"/>
              </ns3:rPr>
              <ns3:t>Ψ</ns3:t>
            </ns3:r>
          </ns3:e>
          <ns3:sub>
            <ns3:r>
              <ns3:t>f</ns3:t>
            </ns3:r>
          </ns3:sub>
        </ns3:sSub>
      </ns3:oMath>
      <w:r>
        <w:t xml:space="preserve"> </w:t>
      </w:r>
      <w:r>
        <w:t xml:space="preserve">is not pathological but constitutive of the valued state. Pathology arises not from high</w:t>
      </w:r>
      <w:r>
        <w:t xml:space="preserve"> </w:t>
      </w:r>
      <ns3:oMath>
        <ns3:sSub>
          <ns3:e>
            <ns3:r>
              <ns3:rPr>
                <ns3:sty ns3:val="p"/>
              </ns3:rPr>
              <ns3:t>Ψ</ns3:t>
            </ns3:r>
          </ns3:e>
          <ns3:sub>
            <ns3:r>
              <ns3:t>f</ns3:t>
            </ns3:r>
          </ns3:sub>
        </ns3:sSub>
      </ns3:oMath>
      <w:r>
        <w:t xml:space="preserve"> </w:t>
      </w:r>
      <w:r>
        <w:t xml:space="preserve">per se, but from</w:t>
      </w:r>
      <w:r>
        <w:t xml:space="preserve"> </w:t>
      </w:r>
      <w:r>
        <w:rPr>
          <w:i/>
          <w:iCs/>
        </w:rPr>
        <w:t xml:space="preserve">unsustainable</w:t>
      </w:r>
      <w:r>
        <w:t xml:space="preserve"> </w:t>
      </w:r>
      <ns3:oMath>
        <ns3:sSub>
          <ns3:e>
            <ns3:r>
              <ns3:rPr>
                <ns3:sty ns3:val="p"/>
              </ns3:rPr>
              <ns3:t>Ψ</ns3:t>
            </ns3:r>
          </ns3:e>
          <ns3:sub>
            <ns3:r>
              <ns3:t>f</ns3:t>
            </ns3:r>
          </ns3:sub>
        </ns3:sSub>
      </ns3:oMath>
      <w:r>
        <w:t xml:space="preserve"> </w:t>
      </w:r>
      <w:r>
        <w:t xml:space="preserve">— when the cost chronically exceeds the agent’s selection power budget.</w:t>
      </w:r>
    </w:p>
    <w:p>
      <w:pPr>
        <w:pStyle w:val="BodyText"/>
      </w:pPr>
      <w:r>
        <w:t xml:space="preserve">This distinction has immediate clinical relevance: the therapeutic goal is not to eliminate</w:t>
      </w:r>
      <w:r>
        <w:t xml:space="preserve"> </w:t>
      </w:r>
      <ns3:oMath>
        <ns3:sSub>
          <ns3:e>
            <ns3:r>
              <ns3:rPr>
                <ns3:sty ns3:val="p"/>
              </ns3:rPr>
              <ns3:t>Ψ</ns3:t>
            </ns3:r>
          </ns3:e>
          <ns3:sub>
            <ns3:r>
              <ns3:t>f</ns3:t>
            </ns3:r>
          </ns3:sub>
        </ns3:sSub>
      </ns3:oMath>
      <w:r>
        <w:t xml:space="preserve"> </w:t>
      </w:r>
      <w:r>
        <w:t xml:space="preserve">(which would eliminate agency) but to restore the balance between</w:t>
      </w:r>
      <w:r>
        <w:t xml:space="preserve"> </w:t>
      </w:r>
      <ns3:oMath>
        <ns3:sSub>
          <ns3:e>
            <ns3:r>
              <ns3:rPr>
                <ns3:sty ns3:val="p"/>
              </ns3:rPr>
              <ns3:t>Ψ</ns3:t>
            </ns3:r>
          </ns3:e>
          <ns3:sub>
            <ns3:r>
              <ns3:t>f</ns3:t>
            </ns3:r>
          </ns3:sub>
        </ns3:sSub>
      </ns3:oMath>
      <w:r>
        <w:t xml:space="preserve"> </w:t>
      </w:r>
      <w:r>
        <w:t xml:space="preserve">and</w:t>
      </w:r>
      <w:r>
        <w:t xml:space="preserve"> </w:t>
      </w:r>
      <ns3:oMath>
        <ns3:sSub>
          <ns3:e>
            <ns3:r>
              <ns3:t>P</ns3:t>
            </ns3:r>
          </ns3:e>
          <ns3:sub>
            <ns3:r>
              <ns3:rPr>
                <ns3:nor/>
                <ns3:sty ns3:val="p"/>
              </ns3:rPr>
              <ns3:t>sel</ns3:t>
            </ns3:r>
          </ns3:sub>
        </ns3:sSub>
      </ns3:oMath>
      <w:r>
        <w:t xml:space="preserve">, either by reducing unnecessary friction or by expanding selection power capacity.</w:t>
      </w:r>
    </w:p>
    <w:bookmarkEnd w:id="18"/>
    <w:bookmarkStart w:id="19" w:name="X7bc66cb39cea34bda9b0637ac5717aa9f5abb90"/>
    <w:p>
      <w:pPr>
        <w:pStyle w:val="Heading3"/>
      </w:pPr>
      <w:r>
        <w:t xml:space="preserve">2.5 Dimensionalization and Identifiability (Empirical Budget Form)</w:t>
      </w:r>
    </w:p>
    <w:p>
      <w:pPr>
        <w:pStyle w:val="FirstParagraph"/>
      </w:pPr>
      <w:r>
        <w:t xml:space="preserve">Equation (5) is used in this manuscript as an</w:t>
      </w:r>
      <w:r>
        <w:t xml:space="preserve"> </w:t>
      </w:r>
      <w:r>
        <w:rPr>
          <w:b/>
          <w:bCs/>
        </w:rPr>
        <w:t xml:space="preserve">empirically identifiable statistical budget model</w:t>
      </w:r>
      <w:r>
        <w:t xml:space="preserve">, not as a closed-form physical law with fixed SI units. For phase-1/2 inference, we estimate all terms in standardized space:</w:t>
      </w:r>
    </w:p>
    <w:p>
      <w:pPr>
        <w:pStyle w:val="BodyText"/>
      </w:pPr>
      <ns3:oMathPara>
        <ns3:oMathParaPr>
          <ns3:jc ns3:val="center"/>
        </ns3:oMathParaPr>
        <ns3:oMath>
          <ns3:f>
            <ns3:fPr>
              <ns3:type ns3:val="bar"/>
            </ns3:fPr>
            <ns3:num>
              <ns3:r>
                <ns3:t>d</ns3:t>
              </ns3:r>
              <ns3:acc>
                <ns3:accPr>
                  <ns3:chr ns3:val="̃"/>
                </ns3:accPr>
                <ns3:e>
                  <ns3:r>
                    <ns3:t>q</ns3:t>
                  </ns3:r>
                </ns3:e>
              </ns3:acc>
            </ns3:num>
            <ns3:den>
              <ns3:r>
                <ns3:t>d</ns3:t>
              </ns3:r>
              <ns3:r>
                <ns3:t>t</ns3:t>
              </ns3:r>
            </ns3:den>
          </ns3:f>
          <ns3:r>
            <ns3:rPr>
              <ns3:sty ns3:val="p"/>
            </ns3:rPr>
            <ns3:t>≤</ns3:t>
          </ns3:r>
          <ns3:sSub>
            <ns3:e>
              <ns3:r>
                <ns3:t>w</ns3:t>
              </ns3:r>
            </ns3:e>
            <ns3:sub>
              <ns3:r>
                <ns3:t>0</ns3:t>
              </ns3:r>
            </ns3:sub>
          </ns3:sSub>
          <ns3:r>
            <ns3:rPr>
              <ns3:sty ns3:val="p"/>
            </ns3:rPr>
            <ns3:t>+</ns3:t>
          </ns3:r>
          <ns3:r>
            <ns3:t>α</ns3:t>
          </ns3:r>
          <ns3:r>
            <ns3:t> </ns3:t>
          </ns3:r>
          <ns3:sSub>
            <ns3:e>
              <ns3:acc>
                <ns3:accPr>
                  <ns3:chr ns3:val="̃"/>
                </ns3:accPr>
                <ns3:e>
                  <ns3:r>
                    <ns3:t>P</ns3:t>
                  </ns3:r>
                </ns3:e>
              </ns3:acc>
            </ns3:e>
            <ns3:sub>
              <ns3:r>
                <ns3:rPr>
                  <ns3:nor/>
                  <ns3:sty ns3:val="p"/>
                </ns3:rPr>
                <ns3:t>sel</ns3:t>
              </ns3:r>
            </ns3:sub>
          </ns3:sSub>
          <ns3:r>
            <ns3:rPr>
              <ns3:sty ns3:val="p"/>
            </ns3:rPr>
            <ns3:t>−</ns3:t>
          </ns3:r>
          <ns3:r>
            <ns3:t>β</ns3:t>
          </ns3:r>
          <ns3:r>
            <ns3:t> </ns3:t>
          </ns3:r>
          <ns3:sSub>
            <ns3:e>
              <ns3:acc>
                <ns3:accPr>
                  <ns3:chr ns3:val="̃"/>
                </ns3:accPr>
                <ns3:e>
                  <ns3:r>
                    <ns3:rPr>
                      <ns3:sty ns3:val="p"/>
                    </ns3:rPr>
                    <ns3:t>Ψ</ns3:t>
                  </ns3:r>
                </ns3:e>
              </ns3:acc>
            </ns3:e>
            <ns3:sub>
              <ns3:r>
                <ns3:t>f</ns3:t>
              </ns3:r>
            </ns3:sub>
          </ns3:sSub>
          <ns3:r>
            <ns3:rPr>
              <ns3:sty ns3:val="p"/>
            </ns3:rPr>
            <ns3:t>−</ns3:t>
          </ns3:r>
          <ns3:r>
            <ns3:t>γ</ns3:t>
          </ns3:r>
          <ns3:r>
            <ns3:t> </ns3:t>
          </ns3:r>
          <ns3:sSub>
            <ns3:e>
              <ns3:acc>
                <ns3:accPr>
                  <ns3:chr ns3:val="̃"/>
                </ns3:accPr>
                <ns3:e>
                  <ns3:r>
                    <ns3:t>S</ns3:t>
                  </ns3:r>
                </ns3:e>
              </ns3:acc>
            </ns3:e>
            <ns3:sub>
              <ns3:r>
                <ns3:rPr>
                  <ns3:nor/>
                  <ns3:sty ns3:val="p"/>
                </ns3:rPr>
                <ns3:t>noise</ns3:t>
              </ns3:r>
            </ns3:sub>
          </ns3:sSub>
          <ns3:r>
            <ns3:rPr>
              <ns3:sty ns3:val="p"/>
            </ns3:rPr>
            <ns3:t>+</ns3:t>
          </ns3:r>
          <ns3:sSub>
            <ns3:e>
              <ns3:r>
                <ns3:t>ε</ns3:t>
              </ns3:r>
            </ns3:e>
            <ns3:sub>
              <ns3:r>
                <ns3:t>t</ns3:t>
              </ns3:r>
            </ns3:sub>
          </ns3:sSub>
          <ns3:r>
            <ns3:t>  </ns3:t>
          </ns3:r>
          <ns3:r>
            <ns3:rPr>
              <ns3:nor/>
              <ns3:sty ns3:val="p"/>
            </ns3:rPr>
            <ns3:t>(5z)</ns3:t>
          </ns3:r>
        </ns3:oMath>
      </ns3:oMathPara>
    </w:p>
    <w:p>
      <w:pPr>
        <w:pStyle w:val="FirstParagraph"/>
      </w:pPr>
      <w:r>
        <w:t xml:space="preserve">where tildes denote z-scored quantities, and</w:t>
      </w:r>
      <w:r>
        <w:t xml:space="preserve"> </w:t>
      </w:r>
      <ns3:oMath>
        <ns3:r>
          <ns3:t>α</ns3:t>
        </ns3:r>
        <ns3:r>
          <ns3:rPr>
            <ns3:sty ns3:val="p"/>
          </ns3:rPr>
          <ns3:t>,</ns3:t>
        </ns3:r>
        <ns3:r>
          <ns3:t>β</ns3:t>
        </ns3:r>
        <ns3:r>
          <ns3:rPr>
            <ns3:sty ns3:val="p"/>
          </ns3:rPr>
          <ns3:t>,</ns3:t>
        </ns3:r>
        <ns3:r>
          <ns3:t>γ</ns3:t>
        </ns3:r>
      </ns3:oMath>
      <w:r>
        <w:t xml:space="preserve"> </w:t>
      </w:r>
      <w:r>
        <w:t xml:space="preserve">are regression weights to be estimated from data (not universal physical constants). In this form,</w:t>
      </w:r>
      <w:r>
        <w:t xml:space="preserve"> </w:t>
      </w:r>
      <ns3:oMath>
        <ns3:acc>
          <ns3:accPr>
            <ns3:chr ns3:val="̃"/>
          </ns3:accPr>
          <ns3:e>
            <ns3:r>
              <ns3:t>q</ns3:t>
            </ns3:r>
          </ns3:e>
        </ns3:acc>
      </ns3:oMath>
      <w:r>
        <w:t xml:space="preserve"> </w:t>
      </w:r>
      <w:r>
        <w:t xml:space="preserve">is a dimensionless state-stability/order index, and all predictors are unitless standardized indicators. Minimal proxy anchoring follows Table 1:</w:t>
      </w:r>
      <w:r>
        <w:t xml:space="preserve"> </w:t>
      </w:r>
      <ns3:oMath>
        <ns3:sSub>
          <ns3:e>
            <ns3:acc>
              <ns3:accPr>
                <ns3:chr ns3:val="̃"/>
              </ns3:accPr>
              <ns3:e>
                <ns3:r>
                  <ns3:t>P</ns3:t>
                </ns3:r>
              </ns3:e>
            </ns3:acc>
          </ns3:e>
          <ns3:sub>
            <ns3:r>
              <ns3:rPr>
                <ns3:nor/>
                <ns3:sty ns3:val="p"/>
              </ns3:rPr>
              <ns3:t>sel</ns3:t>
            </ns3:r>
          </ns3:sub>
        </ns3:sSub>
      </ns3:oMath>
      <w:r>
        <w:t xml:space="preserve"> </w:t>
      </w:r>
      <w:r>
        <w:t xml:space="preserve">from HRV/SCR recovery indicators,</w:t>
      </w:r>
      <w:r>
        <w:t xml:space="preserve"> </w:t>
      </w:r>
      <ns3:oMath>
        <ns3:sSub>
          <ns3:e>
            <ns3:acc>
              <ns3:accPr>
                <ns3:chr ns3:val="̃"/>
              </ns3:accPr>
              <ns3:e>
                <ns3:r>
                  <ns3:rPr>
                    <ns3:sty ns3:val="p"/>
                  </ns3:rPr>
                  <ns3:t>Ψ</ns3:t>
                </ns3:r>
              </ns3:e>
            </ns3:acc>
          </ns3:e>
          <ns3:sub>
            <ns3:r>
              <ns3:t>f</ns3:t>
            </ns3:r>
          </ns3:sub>
        </ns3:sSub>
      </ns3:oMath>
      <w:r>
        <w:t xml:space="preserve"> </w:t>
      </w:r>
      <w:r>
        <w:t xml:space="preserve">from latent-factor estimation over behavioral-linguistic-physiological indicators,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from task conflict/entropy manipulations.</w:t>
      </w:r>
    </w:p>
    <w:p>
      <w:pPr>
        <w:pStyle w:val="BodyText"/>
      </w:pPr>
      <w:r>
        <w:t xml:space="preserve">For confirmatory phase-1 analyses, we operationalize</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with a minimal observable index:</w:t>
      </w:r>
    </w:p>
    <w:p>
      <w:pPr>
        <w:pStyle w:val="BodyText"/>
      </w:pPr>
      <ns3:oMathPara>
        <ns3:oMathParaPr>
          <ns3:jc ns3:val="center"/>
        </ns3:oMathParaPr>
        <ns3:oMath>
          <ns3:sSup>
            <ns3:e>
              <ns3:r>
                <ns3:t>q</ns3:t>
              </ns3:r>
            </ns3:e>
            <ns3:sup>
              <ns3:r>
                <ns3:rPr>
                  <ns3:sty ns3:val="p"/>
                </ns3:rPr>
                <ns3:t>*</ns3:t>
              </ns3:r>
            </ns3:sup>
          </ns3:sSup>
          <ns3:r>
            <ns3:rPr>
              <ns3:sty ns3:val="p"/>
            </ns3:rPr>
            <ns3:t>(</ns3:t>
          </ns3:r>
          <ns3:r>
            <ns3:t>t</ns3:t>
          </ns3:r>
          <ns3:r>
            <ns3:rPr>
              <ns3:sty ns3:val="p"/>
            </ns3:rPr>
            <ns3:t>)</ns3:t>
          </ns3:r>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sSub>
                <ns3:e>
                  <ns3:r>
                    <ns3:t>H</ns3:t>
                  </ns3:r>
                </ns3:e>
                <ns3:sub>
                  <ns3:r>
                    <ns3:rPr>
                      <ns3:nor/>
                      <ns3:sty ns3:val="p"/>
                    </ns3:rPr>
                    <ns3:t>error</ns3:t>
                  </ns3:r>
                  <ns3:r>
                    <ns3:rPr>
                      <ns3:sty ns3:val="p"/>
                    </ns3:rPr>
                    <ns3:t>,</ns3:t>
                  </ns3:r>
                  <ns3:r>
                    <ns3:t>w</ns3:t>
                  </ns3:r>
                </ns3:sub>
              </ns3:sSub>
              <ns3:r>
                <ns3:rPr>
                  <ns3:sty ns3:val="p"/>
                </ns3:rPr>
                <ns3:t>(</ns3:t>
              </ns3:r>
              <ns3:r>
                <ns3:t>t</ns3:t>
              </ns3:r>
              <ns3:r>
                <ns3:rPr>
                  <ns3:sty ns3:val="p"/>
                </ns3:rPr>
                <ns3:t>)</ns3:t>
              </ns3:r>
            </ns3:e>
          </ns3:d>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r>
                <ns3:t>C</ns3:t>
              </ns3:r>
              <ns3:sSub>
                <ns3:e>
                  <ns3:r>
                    <ns3:t>V</ns3:t>
                  </ns3:r>
                </ns3:e>
                <ns3:sub>
                  <ns3:r>
                    <ns3:rPr>
                      <ns3:nor/>
                      <ns3:sty ns3:val="p"/>
                    </ns3:rPr>
                    <ns3:t>RT</ns3:t>
                  </ns3:r>
                  <ns3:r>
                    <ns3:rPr>
                      <ns3:sty ns3:val="p"/>
                    </ns3:rPr>
                    <ns3:t>,</ns3:t>
                  </ns3:r>
                  <ns3:r>
                    <ns3:t>w</ns3:t>
                  </ns3:r>
                </ns3:sub>
              </ns3:sSub>
              <ns3:r>
                <ns3:rPr>
                  <ns3:sty ns3:val="p"/>
                </ns3:rPr>
                <ns3:t>(</ns3:t>
              </ns3:r>
              <ns3:r>
                <ns3:t>t</ns3:t>
              </ns3:r>
              <ns3:r>
                <ns3:rPr>
                  <ns3:sty ns3:val="p"/>
                </ns3:rPr>
                <ns3:t>)</ns3:t>
              </ns3:r>
            </ns3:e>
          </ns3:d>
        </ns3:oMath>
      </ns3:oMathPara>
    </w:p>
    <w:p>
      <w:pPr>
        <w:pStyle w:val="FirstParagraph"/>
      </w:pPr>
      <w:r>
        <w:t xml:space="preserve">where</w:t>
      </w:r>
      <w:r>
        <w:t xml:space="preserve"> </w:t>
      </w:r>
      <ns3:oMath>
        <ns3:sSub>
          <ns3:e>
            <ns3:r>
              <ns3:t>H</ns3:t>
            </ns3:r>
          </ns3:e>
          <ns3:sub>
            <ns3:r>
              <ns3:rPr>
                <ns3:nor/>
                <ns3:sty ns3:val="p"/>
              </ns3:rPr>
              <ns3:t>error</ns3:t>
            </ns3:r>
            <ns3:r>
              <ns3:rPr>
                <ns3:sty ns3:val="p"/>
              </ns3:rPr>
              <ns3:t>,</ns3:t>
            </ns3:r>
            <ns3:r>
              <ns3:t>w</ns3:t>
            </ns3:r>
          </ns3:sub>
        </ns3:sSub>
      </ns3:oMath>
      <w:r>
        <w:t xml:space="preserve"> </w:t>
      </w:r>
      <w:r>
        <w:t xml:space="preserve">is windowed response-error entropy and</w:t>
      </w:r>
      <w:r>
        <w:t xml:space="preserve"> </w:t>
      </w:r>
      <ns3:oMath>
        <ns3:r>
          <ns3:t>C</ns3:t>
        </ns3:r>
        <ns3:sSub>
          <ns3:e>
            <ns3:r>
              <ns3:t>V</ns3:t>
            </ns3:r>
          </ns3:e>
          <ns3:sub>
            <ns3:r>
              <ns3:rPr>
                <ns3:nor/>
                <ns3:sty ns3:val="p"/>
              </ns3:rPr>
              <ns3:t>RT</ns3:t>
            </ns3:r>
            <ns3:r>
              <ns3:rPr>
                <ns3:sty ns3:val="p"/>
              </ns3:rPr>
              <ns3:t>,</ns3:t>
            </ns3:r>
            <ns3:r>
              <ns3:t>w</ns3:t>
            </ns3:r>
          </ns3:sub>
        </ns3:sSub>
      </ns3:oMath>
      <w:r>
        <w:t xml:space="preserve"> </w:t>
      </w:r>
      <w:r>
        <w:t xml:space="preserve">is windowed reaction-time coefficient of variation. Higher</w:t>
      </w:r>
      <w:r>
        <w:t xml:space="preserve"> </w:t>
      </w:r>
      <ns3:oMath>
        <ns3:sSup>
          <ns3:e>
            <ns3:r>
              <ns3:t>q</ns3:t>
            </ns3:r>
          </ns3:e>
          <ns3:sup>
            <ns3:r>
              <ns3:rPr>
                <ns3:sty ns3:val="p"/>
              </ns3:rPr>
              <ns3:t>*</ns3:t>
            </ns3:r>
          </ns3:sup>
        </ns3:sSup>
      </ns3:oMath>
      <w:r>
        <w:t xml:space="preserve"> </w:t>
      </w:r>
      <w:r>
        <w:t xml:space="preserve">indicates greater local task-state stability.</w:t>
      </w:r>
    </w:p>
    <w:p>
      <w:pPr>
        <w:pStyle w:val="BodyText"/>
      </w:pPr>
      <w:r>
        <w:t xml:space="preserve">Interpretively,</w:t>
      </w:r>
      <w:r>
        <w:t xml:space="preserve"> </w:t>
      </w:r>
      <ns3:oMath>
        <ns3:sSup>
          <ns3:e>
            <ns3:r>
              <ns3:t>q</ns3:t>
            </ns3:r>
          </ns3:e>
          <ns3:sup>
            <ns3:r>
              <ns3:rPr>
                <ns3:sty ns3:val="p"/>
              </ns3:rPr>
              <ns3:t>*</ns3:t>
            </ns3:r>
          </ns3:sup>
        </ns3:sSup>
      </ns3:oMath>
      <w:r>
        <w:t xml:space="preserve"> </w:t>
      </w:r>
      <w:r>
        <w:t xml:space="preserve">captures a minimal</w:t>
      </w:r>
      <w:r>
        <w:t xml:space="preserve"> </w:t>
      </w:r>
      <w:r>
        <w:t xml:space="preserve">“order/stability”</w:t>
      </w:r>
      <w:r>
        <w:t xml:space="preserve"> </w:t>
      </w:r>
      <w:r>
        <w:t xml:space="preserve">surrogate: stable control states should show lower local error unpredictability and lower RT dispersion. To separate this from generic arousal/fatigue accounts, phase-1 models include baseline arousal and block-order covariates; if</w:t>
      </w:r>
      <w:r>
        <w:t xml:space="preserve"> </w:t>
      </w:r>
      <ns3:oMath>
        <ns3:sSup>
          <ns3:e>
            <ns3:r>
              <ns3:t>q</ns3:t>
            </ns3:r>
          </ns3:e>
          <ns3:sup>
            <ns3:r>
              <ns3:rPr>
                <ns3:sty ns3:val="p"/>
              </ns3:rPr>
              <ns3:t>*</ns3:t>
            </ns3:r>
          </ns3:sup>
        </ns3:sSup>
      </ns3:oMath>
      <w:r>
        <w:t xml:space="preserve"> </w:t>
      </w:r>
      <w:r>
        <w:t xml:space="preserve">variance is explained by arousal/fatigue alone while budget terms contribute no directional signal, the Eq. (5) interpretation is weakened. The confirmatory phase-1 test for Eq. (5) is directional and statistical: whether</w:t>
      </w:r>
      <w:r>
        <w:t xml:space="preserve"> </w:t>
      </w:r>
      <ns3:oMath>
        <ns3:sSub>
          <ns3:e>
            <ns3:acc>
              <ns3:accPr>
                <ns3:chr ns3:val="̃"/>
              </ns3:accPr>
              <ns3:e>
                <ns3:r>
                  <ns3:t>P</ns3:t>
                </ns3:r>
              </ns3:e>
            </ns3:acc>
          </ns3:e>
          <ns3:sub>
            <ns3:r>
              <ns3:rPr>
                <ns3:nor/>
                <ns3:sty ns3:val="p"/>
              </ns3:rPr>
              <ns3:t>sel</ns3:t>
            </ns3:r>
          </ns3:sub>
        </ns3:sSub>
      </ns3:oMath>
      <w:r>
        <w:t xml:space="preserve">,</w:t>
      </w:r>
      <w:r>
        <w:t xml:space="preserve"> </w:t>
      </w:r>
      <ns3:oMath>
        <ns3:sSub>
          <ns3:e>
            <ns3:acc>
              <ns3:accPr>
                <ns3:chr ns3:val="̃"/>
              </ns3:accPr>
              <ns3:e>
                <ns3:r>
                  <ns3:rPr>
                    <ns3:sty ns3:val="p"/>
                  </ns3:rPr>
                  <ns3:t>Ψ</ns3:t>
                </ns3:r>
              </ns3:e>
            </ns3:acc>
          </ns3:e>
          <ns3:sub>
            <ns3:r>
              <ns3:t>f</ns3:t>
            </ns3:r>
          </ns3:sub>
        </ns3:sSub>
      </ns3:oMath>
      <w:r>
        <w:t xml:space="preserve">,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jointly predict</w:t>
      </w:r>
      <w:r>
        <w:t xml:space="preserve"> </w:t>
      </w:r>
      <ns3:oMath>
        <ns3:r>
          <ns3:t>d</ns3:t>
        </ns3:r>
        <ns3:sSup>
          <ns3:e>
            <ns3:r>
              <ns3:t>q</ns3:t>
            </ns3:r>
          </ns3:e>
          <ns3:sup>
            <ns3:r>
              <ns3:rPr>
                <ns3:sty ns3:val="p"/>
              </ns3:rPr>
              <ns3:t>*</ns3:t>
            </ns3:r>
          </ns3:sup>
        </ns3:sSup>
        <ns3:r>
          <ns3:rPr>
            <ns3:sty ns3:val="p"/>
          </ns3:rPr>
          <ns3:t>/</ns3:t>
        </ns3:r>
        <ns3:r>
          <ns3:t>d</ns3:t>
        </ns3:r>
        <ns3:r>
          <ns3:t>t</ns3:t>
        </ns3:r>
      </ns3:oMath>
      <w:r>
        <w:t xml:space="preserve"> </w:t>
      </w:r>
      <w:r>
        <w:t xml:space="preserve">with expected signs, rather than whether Eq. (5) is a literal thermodynamic identity.</w:t>
      </w:r>
    </w:p>
    <w:p>
      <w:pPr>
        <w:pStyle w:val="BodyText"/>
      </w:pPr>
      <w:r>
        <w:t xml:space="preserve">For changepoint testing, we retain the theoretical ratio in Equation (7a) and additionally define a phase-1 robust approximation:</w:t>
      </w:r>
    </w:p>
    <w:p>
      <w:pPr>
        <w:pStyle w:val="BodyText"/>
      </w:pPr>
      <ns3:oMathPara>
        <ns3:oMathParaPr>
          <ns3:jc ns3:val="center"/>
        </ns3:oMathParaPr>
        <ns3:oMath>
          <ns3:sSup>
            <ns3:e>
              <ns3:r>
                <ns3:t>ρ</ns3:t>
              </ns3:r>
            </ns3:e>
            <ns3:sup>
              <ns3:r>
                <ns3:rPr>
                  <ns3:sty ns3:val="p"/>
                </ns3:rPr>
                <ns3:t>*</ns3:t>
              </ns3:r>
            </ns3:sup>
          </ns3:sSup>
          <ns3:r>
            <ns3:rPr>
              <ns3:sty ns3:val="p"/>
            </ns3:rPr>
            <ns3:t>(</ns3:t>
          </ns3:r>
          <ns3:r>
            <ns3:t>t</ns3:t>
          </ns3:r>
          <ns3:r>
            <ns3:rPr>
              <ns3:sty ns3:val="p"/>
            </ns3:rPr>
            <ns3:t>)</ns3:t>
          </ns3:r>
          <ns3:r>
            <ns3:rPr>
              <ns3:sty ns3:val="p"/>
            </ns3:rPr>
            <ns3:t>=</ns3:t>
          </ns3:r>
          <ns3:r>
            <ns3:t>z</ns3:t>
          </ns3:r>
          <ns3:r>
            <ns3:t>​</ns3:t>
          </ns3:r>
          <ns3:d>
            <ns3:dPr>
              <ns3:begChr ns3:val="("/>
              <ns3:sepChr ns3:val=""/>
              <ns3:endChr ns3:val=")"/>
              <ns3:grow/>
            </ns3:dPr>
            <ns3:e>
              <ns3:sSubSup>
                <ns3:e>
                  <ns3:r>
                    <ns3:rPr>
                      <ns3:sty ns3:val="p"/>
                    </ns3:rPr>
                    <ns3:t>Ψ</ns3:t>
                  </ns3:r>
                </ns3:e>
                <ns3:sub>
                  <ns3:r>
                    <ns3:t>f</ns3:t>
                  </ns3:r>
                </ns3:sub>
                <ns3:sup>
                  <ns3:r>
                    <ns3:rPr>
                      <ns3:nor/>
                      <ns3:sty ns3:val="p"/>
                    </ns3:rPr>
                    <ns3:t>baseline, latent</ns3:t>
                  </ns3:r>
                </ns3:sup>
              </ns3:sSubSup>
              <ns3:r>
                <ns3:rPr>
                  <ns3:sty ns3:val="p"/>
                </ns3:rPr>
                <ns3:t>(</ns3:t>
              </ns3:r>
              <ns3:r>
                <ns3:t>t</ns3:t>
              </ns3:r>
              <ns3:r>
                <ns3:rPr>
                  <ns3:sty ns3:val="p"/>
                </ns3:rPr>
                <ns3:t>)</ns3:t>
              </ns3:r>
            </ns3:e>
          </ns3:d>
          <ns3:r>
            <ns3:rPr>
              <ns3:sty ns3:val="p"/>
            </ns3:rPr>
            <ns3:t>−</ns3:t>
          </ns3:r>
          <ns3:r>
            <ns3:t>z</ns3:t>
          </ns3:r>
          <ns3:r>
            <ns3:t>​</ns3:t>
          </ns3:r>
          <ns3:d>
            <ns3:dPr>
              <ns3:begChr ns3:val="("/>
              <ns3:sepChr ns3:val=""/>
              <ns3:endChr ns3:val=")"/>
              <ns3:grow/>
            </ns3:dPr>
            <ns3:e>
              <ns3:sSubSup>
                <ns3:e>
                  <ns3:r>
                    <ns3:t>P</ns3:t>
                  </ns3:r>
                </ns3:e>
                <ns3:sub>
                  <ns3:r>
                    <ns3:rPr>
                      <ns3:nor/>
                      <ns3:sty ns3:val="p"/>
                    </ns3:rPr>
                    <ns3:t>sel</ns3:t>
                  </ns3:r>
                </ns3:sub>
                <ns3:sup>
                  <ns3:r>
                    <ns3:rPr>
                      <ns3:nor/>
                      <ns3:sty ns3:val="p"/>
                    </ns3:rPr>
                    <ns3:t>proxy</ns3:t>
                  </ns3:r>
                </ns3:sup>
              </ns3:sSubSup>
              <ns3:r>
                <ns3:rPr>
                  <ns3:sty ns3:val="p"/>
                </ns3:rPr>
                <ns3:t>(</ns3:t>
              </ns3:r>
              <ns3:r>
                <ns3:t>t</ns3:t>
              </ns3:r>
              <ns3:r>
                <ns3:rPr>
                  <ns3:sty ns3:val="p"/>
                </ns3:rPr>
                <ns3:t>)</ns3:t>
              </ns3:r>
            </ns3:e>
          </ns3:d>
        </ns3:oMath>
      </ns3:oMathPara>
    </w:p>
    <w:p>
      <w:pPr>
        <w:pStyle w:val="FirstParagraph"/>
      </w:pPr>
      <w:r>
        <w:t xml:space="preserve">which avoids instability of ratio estimators in low-denominator regions. Inference targets are therefore statistical critical points (</w:t>
      </w:r>
      <ns3:oMath>
        <ns3:sSub>
          <ns3:e>
            <ns3:r>
              <ns3:t>ρ</ns3:t>
            </ns3:r>
          </ns3:e>
          <ns3:sub>
            <ns3:r>
              <ns3:t>c</ns3:t>
            </ns3:r>
          </ns3:sub>
        </ns3:sSub>
      </ns3:oMath>
      <w:r>
        <w:t xml:space="preserve"> </w:t>
      </w:r>
      <w:r>
        <w:t xml:space="preserve">or</w:t>
      </w:r>
      <w:r>
        <w:t xml:space="preserve"> </w:t>
      </w:r>
      <ns3:oMath>
        <ns3:sSubSup>
          <ns3:e>
            <ns3:r>
              <ns3:t>ρ</ns3:t>
            </ns3:r>
          </ns3:e>
          <ns3:sub>
            <ns3:r>
              <ns3:t>c</ns3:t>
            </ns3:r>
          </ns3:sub>
          <ns3:sup>
            <ns3:r>
              <ns3:rPr>
                <ns3:sty ns3:val="p"/>
              </ns3:rPr>
              <ns3:t>*</ns3:t>
            </ns3:r>
          </ns3:sup>
        </ns3:sSubSup>
      </ns3:oMath>
      <w:r>
        <w:t xml:space="preserve">) rather than claims of a universal thermodynamic constant.</w:t>
      </w:r>
    </w:p>
    <w:p>
      <w:pPr>
        <w:pStyle w:val="BodyText"/>
      </w:pPr>
      <w:r>
        <w:rPr>
          <w:i/>
          <w:iCs/>
        </w:rPr>
        <w:t xml:space="preserve">Insert Figure 1 near here.</w:t>
      </w:r>
    </w:p>
    <w:p>
      <w:r>
        <w:pict>
          <ns1:rect style="width:0;height:1.5pt" ns2:hralign="center" ns2:hrstd="t" ns2:hr="t"/>
        </w:pict>
      </w:r>
    </w:p>
    <w:bookmarkEnd w:id="19"/>
    <w:bookmarkEnd w:id="20"/>
    <w:bookmarkStart w:id="27" w:name="X8ace98159aae841a718df882a90b4a1e94ed563"/>
    <w:p>
      <w:pPr>
        <w:pStyle w:val="Heading2"/>
      </w:pPr>
      <w:r>
        <w:t xml:space="preserve">3. Operationalization: Four Proxy Classes for</w:t>
      </w:r>
      <w:r>
        <w:t xml:space="preserve"> </w:t>
      </w:r>
      <ns3:oMath>
        <ns3:sSub>
          <ns3:e>
            <ns3:r>
              <ns3:rPr>
                <ns3:sty ns3:val="p"/>
              </ns3:rPr>
              <ns3:t>Ψ</ns3:t>
            </ns3:r>
          </ns3:e>
          <ns3:sub>
            <ns3:r>
              <ns3:t>f</ns3:t>
            </ns3:r>
          </ns3:sub>
        </ns3:sSub>
      </ns3:oMath>
    </w:p>
    <w:p>
      <w:pPr>
        <w:pStyle w:val="FirstParagraph"/>
      </w:pPr>
      <w:r>
        <w:t xml:space="preserve">A theoretical construct is scientifically useful only to the extent that it can be measured. We now derive four classes of proxy measures for</w:t>
      </w:r>
      <w:r>
        <w:t xml:space="preserve"> </w:t>
      </w:r>
      <ns3:oMath>
        <ns3:sSub>
          <ns3:e>
            <ns3:r>
              <ns3:rPr>
                <ns3:sty ns3:val="p"/>
              </ns3:rPr>
              <ns3:t>Ψ</ns3:t>
            </ns3:r>
          </ns3:e>
          <ns3:sub>
            <ns3:r>
              <ns3:t>f</ns3:t>
            </ns3:r>
          </ns3:sub>
        </ns3:sSub>
      </ns3:oMath>
      <w:r>
        <w:t xml:space="preserve">, each grounded in established measurement paradigms but unified under a common latent variable interpretation. The central claim of this section is that</w:t>
      </w:r>
      <w:r>
        <w:t xml:space="preserve"> </w:t>
      </w:r>
      <ns3:oMath>
        <ns3:sSub>
          <ns3:e>
            <ns3:r>
              <ns3:rPr>
                <ns3:sty ns3:val="p"/>
              </ns3:rPr>
              <ns3:t>Ψ</ns3:t>
            </ns3:r>
          </ns3:e>
          <ns3:sub>
            <ns3:r>
              <ns3:t>f</ns3:t>
            </ns3:r>
          </ns3:sub>
        </ns3:sSub>
      </ns3:oMath>
      <w:r>
        <w:t xml:space="preserve"> </w:t>
      </w:r>
      <w:r>
        <w:t xml:space="preserve">is not reducible to any single proxy but manifests as a correlated pattern across behavioral, physiological, neural, and linguistic indicators.</w:t>
      </w:r>
    </w:p>
    <w:bookmarkStart w:id="21" w:name="validation-first-prioritization"/>
    <w:p>
      <w:pPr>
        <w:pStyle w:val="Heading3"/>
      </w:pPr>
      <w:r>
        <w:t xml:space="preserve">3.0 Validation-First Prioritization</w:t>
      </w:r>
    </w:p>
    <w:p>
      <w:pPr>
        <w:pStyle w:val="FirstParagraph"/>
      </w:pPr>
      <w:r>
        <w:t xml:space="preserve">To maximize empirical tractability, this manuscript adopts a staged validation strategy. The</w:t>
      </w:r>
      <w:r>
        <w:t xml:space="preserve"> </w:t>
      </w:r>
      <w:r>
        <w:rPr>
          <w:b/>
          <w:bCs/>
        </w:rPr>
        <w:t xml:space="preserve">core validation chain</w:t>
      </w:r>
      <w:r>
        <w:t xml:space="preserve"> </w:t>
      </w:r>
      <w:r>
        <w:t xml:space="preserve">uses low-cost modalities that can be replicated broadly: behavioral control-cost tasks, the linguistic modal-ratio probe (</w:t>
      </w:r>
      <ns3:oMath>
        <ns3:sSub>
          <ns3:e>
            <ns3:r>
              <ns3:t>μ</ns3:t>
            </ns3:r>
          </ns3:e>
          <ns3:sub>
            <ns3:r>
              <ns3:rPr>
                <ns3:nor/>
                <ns3:sty ns3:val="p"/>
              </ns3:rPr>
              <ns3:t>sem</ns3:t>
            </ns3:r>
          </ns3:sub>
        </ns3:sSub>
      </ns3:oMath>
      <w:r>
        <w:t xml:space="preserve">), and low-cost physiology (HRV and SCR; cortisol optional). High-cost markers (ROS assays, PCI, Fisher-geometry readouts, and theta-gamma coupling) are treated as</w:t>
      </w:r>
      <w:r>
        <w:t xml:space="preserve"> </w:t>
      </w:r>
      <w:r>
        <w:rPr>
          <w:b/>
          <w:bCs/>
        </w:rPr>
        <w:t xml:space="preserve">expansion layers</w:t>
      </w:r>
      <w:r>
        <w:t xml:space="preserve"> </w:t>
      </w:r>
      <w:r>
        <w:t xml:space="preserve">for later-phase adjudication rather than prerequisites for first-pass falsification. Failure of expansion markers to add value does not invalidate the core-chain model.</w:t>
      </w:r>
    </w:p>
    <w:p>
      <w:pPr>
        <w:pStyle w:val="BodyText"/>
      </w:pPr>
      <w:r>
        <w:t xml:space="preserve">For transparency, we explicitly map model terms to measurable proxies:</w:t>
      </w:r>
    </w:p>
    <w:p>
      <w:pPr>
        <w:pStyle w:val="BodyText"/>
      </w:pPr>
      <w:r>
        <w:rPr>
          <w:i/>
          <w:iCs/>
        </w:rPr>
        <w:t xml:space="preserve">Insert Table 1 near here.</w:t>
      </w:r>
    </w:p>
    <w:bookmarkEnd w:id="21"/>
    <w:bookmarkStart w:id="22" w:name="behavioral-proxies"/>
    <w:p>
      <w:pPr>
        <w:pStyle w:val="Heading3"/>
      </w:pPr>
      <w:r>
        <w:t xml:space="preserve">3.1 Behavioral Proxies</w:t>
      </w:r>
    </w:p>
    <w:p>
      <w:pPr>
        <w:pStyle w:val="FirstParagraph"/>
      </w:pPr>
      <w:r>
        <w:rPr>
          <w:b/>
          <w:bCs/>
        </w:rPr>
        <w:t xml:space="preserve">Task-switching cost.</w:t>
      </w:r>
      <w:r>
        <w:t xml:space="preserve"> </w:t>
      </w:r>
      <w:r>
        <w:t xml:space="preserve">When an agent must reconfigure the active control state to serve a new task rule, the reconfiguration incurs executive friction proportional to the distance between the current and target control configurations. The classical task-switching cost — the increase in reaction time and error rate on switch trials relative to repeat trials (Monsell, 2003; Kiesel et al., 2010) — directly indexes this reconfiguration friction. Computational accounts further decompose this cost into reconfiguration and interference-control components (Yeung and Monsell, 2003; Brown et al., 2007), supporting model-based estimation of behavioral friction. We predict that task-switching cost scales with</w:t>
      </w:r>
      <w:r>
        <w:t xml:space="preserve"> </w:t>
      </w:r>
      <ns3:oMath>
        <ns3:sSub>
          <ns3:e>
            <ns3:r>
              <ns3:rPr>
                <ns3:sty ns3:val="p"/>
              </ns3:rPr>
              <ns3:t>Ψ</ns3:t>
            </ns3:r>
          </ns3:e>
          <ns3:sub>
            <ns3:r>
              <ns3:t>f</ns3:t>
            </ns3:r>
          </ns3:sub>
        </ns3:sSub>
      </ns3:oMath>
      <w:r>
        <w:t xml:space="preserve"> </w:t>
      </w:r>
      <w:r>
        <w:t xml:space="preserve">across individuals and within individuals across conditions.</w:t>
      </w:r>
    </w:p>
    <w:p>
      <w:pPr>
        <w:pStyle w:val="BodyText"/>
      </w:pPr>
      <w:r>
        <w:rPr>
          <w:b/>
          <w:bCs/>
        </w:rPr>
        <w:t xml:space="preserve">Perseverative errors.</w:t>
      </w:r>
      <w:r>
        <w:t xml:space="preserve"> </w:t>
      </w:r>
      <w:r>
        <w:t xml:space="preserve">In the Wisconsin Card Sorting Test (WCST; Berg, 1948) and related paradigms, perseverative errors reflect the agent’s failure to abandon a high-friction configuration — the previous sorting rule has become deeply anchored (high</w:t>
      </w:r>
      <w:r>
        <w:t xml:space="preserve"> </w:t>
      </w:r>
      <ns3:oMath>
        <ns3:sSubSup>
          <ns3:e>
            <ns3:r>
              <ns3:rPr>
                <ns3:sty ns3:val="p"/>
              </ns3:rPr>
              <ns3:t>Ψ</ns3:t>
            </ns3:r>
          </ns3:e>
          <ns3:sub>
            <ns3:r>
              <ns3:t>f</ns3:t>
            </ns3:r>
          </ns3:sub>
          <ns3:sup>
            <ns3:r>
              <ns3:rPr>
                <ns3:nor/>
                <ns3:sty ns3:val="p"/>
              </ns3:rPr>
              <ns3:t>switch</ns3:t>
            </ns3:r>
          </ns3:sup>
        </ns3:sSubSup>
      </ns3:oMath>
      <w:r>
        <w:t xml:space="preserve">) and the system cannot pay the switching cost. The number of perseverative errors indexes the</w:t>
      </w:r>
      <w:r>
        <w:t xml:space="preserve"> </w:t>
      </w:r>
      <w:r>
        <w:rPr>
          <w:i/>
          <w:iCs/>
        </w:rPr>
        <w:t xml:space="preserve">viscosity</w:t>
      </w:r>
      <w:r>
        <w:t xml:space="preserve"> </w:t>
      </w:r>
      <ns3:oMath>
        <ns3:r>
          <ns3:t>η</ns3:t>
        </ns3:r>
      </ns3:oMath>
      <w:r>
        <w:t xml:space="preserve"> </w:t>
      </w:r>
      <w:r>
        <w:t xml:space="preserve">of the parameter space:</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w:t>
      </w:r>
    </w:p>
    <w:p>
      <w:pPr>
        <w:pStyle w:val="BodyText"/>
      </w:pPr>
      <w:r>
        <w:rPr>
          <w:b/>
          <w:bCs/>
        </w:rPr>
        <w:t xml:space="preserve">Stroop interference.</w:t>
      </w:r>
      <w:r>
        <w:t xml:space="preserve"> </w:t>
      </w:r>
      <w:r>
        <w:t xml:space="preserve">The Stroop effect (Stroop, 1935) measures the friction cost of suppressing a default selection (word reading) in favor of a non-default selection (color naming). The Stroop interference ratio (incongruent RT / congruent RT) provides a normalized behavioral index of the friction differential between default and non-default selections.</w:t>
      </w:r>
    </w:p>
    <w:p>
      <w:pPr>
        <w:pStyle w:val="BodyText"/>
      </w:pPr>
      <w:r>
        <w:rPr>
          <w:b/>
          <w:bCs/>
        </w:rPr>
        <w:t xml:space="preserve">Temporal discounting.</w:t>
      </w:r>
      <w:r>
        <w:t xml:space="preserve"> </w:t>
      </w:r>
      <w:r>
        <w:t xml:space="preserve">Steep temporal discounting — the preference for smaller-sooner over larger-later rewards — reflects the high friction cost of maintaining a non-default, future-oriented active control state (Bickel et al., 2012). The temporal discounting rate</w:t>
      </w:r>
      <w:r>
        <w:t xml:space="preserve"> </w:t>
      </w:r>
      <ns3:oMath>
        <ns3:r>
          <ns3:t>k</ns3:t>
        </ns3:r>
      </ns3:oMath>
      <w:r>
        <w:t xml:space="preserve"> </w:t>
      </w:r>
      <w:r>
        <w:t xml:space="preserve">in the hyperbolic model (</w:t>
      </w:r>
      <ns3:oMath>
        <ns3:r>
          <ns3:t>V</ns3:t>
        </ns3:r>
        <ns3:r>
          <ns3:rPr>
            <ns3:sty ns3:val="p"/>
          </ns3:rPr>
          <ns3:t>=</ns3:t>
        </ns3:r>
        <ns3:r>
          <ns3:t>A</ns3:t>
        </ns3:r>
        <ns3:r>
          <ns3:rPr>
            <ns3:sty ns3:val="p"/>
          </ns3:rPr>
          <ns3:t>/</ns3:t>
        </ns3:r>
        <ns3:r>
          <ns3:rPr>
            <ns3:sty ns3:val="p"/>
          </ns3:rPr>
          <ns3:t>(</ns3:t>
        </ns3:r>
        <ns3:r>
          <ns3:t>1</ns3:t>
        </ns3:r>
        <ns3:r>
          <ns3:rPr>
            <ns3:sty ns3:val="p"/>
          </ns3:rPr>
          <ns3:t>+</ns3:t>
        </ns3:r>
        <ns3:r>
          <ns3:t>k</ns3:t>
        </ns3:r>
        <ns3:r>
          <ns3:t>D</ns3:t>
        </ns3:r>
        <ns3:r>
          <ns3:rPr>
            <ns3:sty ns3:val="p"/>
          </ns3:rPr>
          <ns3:t>)</ns3:t>
        </ns3:r>
      </ns3:oMath>
      <w:r>
        <w:t xml:space="preserve">) can be interpreted as a proxy for the friction cost of temporal extension of the selection horizon. This interpretation is consistent with effort-based decision frameworks that treat control allocation as a cost-benefit computation (Westbrook and Braver, 2015).</w:t>
      </w:r>
    </w:p>
    <w:p>
      <w:pPr>
        <w:pStyle w:val="BodyText"/>
      </w:pPr>
      <w:r>
        <w:rPr>
          <w:b/>
          <w:bCs/>
        </w:rPr>
        <w:t xml:space="preserve">Composite score.</w:t>
      </w:r>
      <w:r>
        <w:t xml:space="preserve"> </w:t>
      </w:r>
      <w:r>
        <w:t xml:space="preserve">We propose a composite behavioral</w:t>
      </w:r>
      <w:r>
        <w:t xml:space="preserve"> </w:t>
      </w:r>
      <ns3:oMath>
        <ns3:sSub>
          <ns3:e>
            <ns3:r>
              <ns3:rPr>
                <ns3:sty ns3:val="p"/>
              </ns3:rPr>
              <ns3:t>Ψ</ns3:t>
            </ns3:r>
          </ns3:e>
          <ns3:sub>
            <ns3:r>
              <ns3:t>f</ns3:t>
            </ns3:r>
          </ns3:sub>
        </ns3:sSub>
      </ns3:oMath>
      <w:r>
        <w:t xml:space="preserve"> </w:t>
      </w:r>
      <w:r>
        <w:t xml:space="preserve">score computed as the average of standardized (Z-scored) values across: (a) mean task-switching cost, (b) WCST perseverative error proportion, (c) Stroop interference ratio, and (d) temporal discounting rate.</w:t>
      </w:r>
    </w:p>
    <w:bookmarkEnd w:id="22"/>
    <w:bookmarkStart w:id="23" w:name="physiological-proxies-core-and-expansion"/>
    <w:p>
      <w:pPr>
        <w:pStyle w:val="Heading3"/>
      </w:pPr>
      <w:r>
        <w:t xml:space="preserve">3.2 Physiological Proxies (Core and Expansion)</w:t>
      </w:r>
    </w:p>
    <w:p>
      <w:pPr>
        <w:pStyle w:val="FirstParagraph"/>
      </w:pPr>
      <w:r>
        <w:rPr>
          <w:b/>
          <w:bCs/>
        </w:rPr>
        <w:t xml:space="preserve">Heart rate variability (HRV) recovery.</w:t>
      </w:r>
      <w:r>
        <w:t xml:space="preserve"> </w:t>
      </w:r>
      <w:r>
        <w:t xml:space="preserve">Vagal-mediated HRV reflects the capacity of the autonomic nervous system to regulate arousal — a physiological substrate of selection power</w:t>
      </w:r>
      <w:r>
        <w:t xml:space="preserve"> </w:t>
      </w:r>
      <ns3:oMath>
        <ns3:sSub>
          <ns3:e>
            <ns3:r>
              <ns3:t>P</ns3:t>
            </ns3:r>
          </ns3:e>
          <ns3:sub>
            <ns3:r>
              <ns3:rPr>
                <ns3:nor/>
                <ns3:sty ns3:val="p"/>
              </ns3:rPr>
              <ns3:t>sel</ns3:t>
            </ns3:r>
          </ns3:sub>
        </ns3:sSub>
      </ns3:oMath>
      <w:r>
        <w:t xml:space="preserve">. The neurovisceral integration model (Thayer and Lane, 2009) establishes that high resting HRV indexes flexible autonomic control, while reduced HRV indexes rigidity. We predict that</w:t>
      </w:r>
      <w:r>
        <w:t xml:space="preserve"> </w:t>
      </w:r>
      <w:r>
        <w:rPr>
          <w:i/>
          <w:iCs/>
        </w:rPr>
        <w:t xml:space="preserve">HRV recovery slope</w:t>
      </w:r>
      <w:r>
        <w:t xml:space="preserve"> </w:t>
      </w:r>
      <w:r>
        <w:t xml:space="preserve">— the rate at which HRV returns to baseline following a stressor — indexes the system’s capacity to dissipate</w:t>
      </w:r>
      <w:r>
        <w:t xml:space="preserve"> </w:t>
      </w:r>
      <ns3:oMath>
        <ns3:sSub>
          <ns3:e>
            <ns3:r>
              <ns3:rPr>
                <ns3:sty ns3:val="p"/>
              </ns3:rPr>
              <ns3:t>Ψ</ns3:t>
            </ns3:r>
          </ns3:e>
          <ns3:sub>
            <ns3:r>
              <ns3:t>f</ns3:t>
            </ns3:r>
          </ns3:sub>
        </ns3:sSub>
      </ns3:oMath>
      <w:r>
        <w:t xml:space="preserve">. Slow recovery indicates sustained high friction; rapid recovery indicates efficient friction resolution.</w:t>
      </w:r>
    </w:p>
    <w:p>
      <w:pPr>
        <w:pStyle w:val="BodyText"/>
      </w:pPr>
      <w:r>
        <w:rPr>
          <w:b/>
          <w:bCs/>
        </w:rPr>
        <w:t xml:space="preserve">Cortisol circadian rhythm.</w:t>
      </w:r>
      <w:r>
        <w:t xml:space="preserve"> </w:t>
      </w:r>
      <w:r>
        <w:t xml:space="preserve">The diurnal cortisol curve (cortisol awakening response and diurnal slope) reflects the integrity of the hypothalamic-pituitary-adrenal axis. Chronic high</w:t>
      </w:r>
      <w:r>
        <w:t xml:space="preserve"> </w:t>
      </w:r>
      <ns3:oMath>
        <ns3:sSub>
          <ns3:e>
            <ns3:r>
              <ns3:rPr>
                <ns3:sty ns3:val="p"/>
              </ns3:rPr>
              <ns3:t>Ψ</ns3:t>
            </ns3:r>
          </ns3:e>
          <ns3:sub>
            <ns3:r>
              <ns3:t>f</ns3:t>
            </ns3:r>
          </ns3:sub>
        </ns3:sSub>
      </ns3:oMath>
      <w:r>
        <w:t xml:space="preserve"> </w:t>
      </w:r>
      <w:r>
        <w:t xml:space="preserve">is predicted to flatten the cortisol curve — reducing the morning peak and elevating the evening nadir — reflecting exhaustion of the neuroendocrine substrate that supports selection power (Adam et al., 2017). We propose the cortisol awakening response (CAR) magnitude and the diurnal cortisol slope (DCS) as complementary physiological proxies.</w:t>
      </w:r>
    </w:p>
    <w:p>
      <w:pPr>
        <w:pStyle w:val="BodyText"/>
      </w:pPr>
      <w:r>
        <w:rPr>
          <w:b/>
          <w:bCs/>
        </w:rPr>
        <w:t xml:space="preserve">Skin conductance response (SCR).</w:t>
      </w:r>
      <w:r>
        <w:t xml:space="preserve"> </w:t>
      </w:r>
      <w:r>
        <w:t xml:space="preserve">Phasic SCR amplitude during decision-making tasks reflects momentary spikes in autonomic arousal associated with conflict and uncertainty — acute increases in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SCR peak amplitude during high-conflict choices (e.g., the Iowa Gambling Task; Bechara et al., 1994) provides a real-time physiological index of the hazard function (Equation 4). Importantly, SCR is treated here as an</w:t>
      </w:r>
      <w:r>
        <w:t xml:space="preserve"> </w:t>
      </w:r>
      <w:r>
        <w:rPr>
          <w:i/>
          <w:iCs/>
        </w:rPr>
        <w:t xml:space="preserve">acute-state</w:t>
      </w:r>
      <w:r>
        <w:t xml:space="preserve"> </w:t>
      </w:r>
      <w:r>
        <w:t xml:space="preserve">readout, most appropriate for within-task or cue-locked friction peaks. It is not assumed to track slow, chronic friction accumulation on its own; for chronic-load interpretations (for example in MDD), SCR is therefore read alongside slower measures such as HRV recovery, cortisol slope, and trait-level behavioral composites.</w:t>
      </w:r>
    </w:p>
    <w:p>
      <w:pPr>
        <w:pStyle w:val="BodyText"/>
      </w:pPr>
      <w:r>
        <w:rPr>
          <w:b/>
          <w:bCs/>
        </w:rPr>
        <w:t xml:space="preserve">Reactive oxygen species (ROS) as a biochemical signature (expansion layer).</w:t>
      </w:r>
      <w:r>
        <w:t xml:space="preserve"> </w:t>
      </w:r>
      <w:r>
        <w:t xml:space="preserve">We propose a link between</w:t>
      </w:r>
      <w:r>
        <w:t xml:space="preserve"> </w:t>
      </w:r>
      <ns3:oMath>
        <ns3:sSub>
          <ns3:e>
            <ns3:r>
              <ns3:rPr>
                <ns3:sty ns3:val="p"/>
              </ns3:rPr>
              <ns3:t>Ψ</ns3:t>
            </ns3:r>
          </ns3:e>
          <ns3:sub>
            <ns3:r>
              <ns3:t>f</ns3:t>
            </ns3:r>
          </ns3:sub>
        </ns3:sSub>
      </ns3:oMath>
      <w:r>
        <w:t xml:space="preserve"> </w:t>
      </w:r>
      <w:r>
        <w:t xml:space="preserve">and oxidative stress for later-phase testing. The sustained energetic expenditure required to maintain high-friction states should produce elevated mitochondrial activity and, consequently, elevated ROS production. We formalize this as:</w:t>
      </w:r>
    </w:p>
    <w:p>
      <w:pPr>
        <w:pStyle w:val="BodyText"/>
      </w:pPr>
      <ns3:oMathPara>
        <ns3:oMathParaPr>
          <ns3:jc ns3:val="center"/>
        </ns3:oMathParaPr>
        <ns3:oMath>
          <ns3:f>
            <ns3:fPr>
              <ns3:type ns3:val="bar"/>
            </ns3:fPr>
            <ns3:num>
              <ns3:r>
                <ns3:t>d</ns3:t>
              </ns3:r>
              <ns3:r>
                <ns3:rPr>
                  <ns3:sty ns3:val="p"/>
                </ns3:rPr>
                <ns3:t>[</ns3:t>
              </ns3:r>
              <ns3:r>
                <ns3:rPr>
                  <ns3:nor/>
                  <ns3:sty ns3:val="p"/>
                </ns3:rPr>
                <ns3:t>ROS</ns3:t>
              </ns3:r>
              <ns3:r>
                <ns3:rPr>
                  <ns3:sty ns3:val="p"/>
                </ns3:rPr>
                <ns3:t>]</ns3:t>
              </ns3:r>
            </ns3:num>
            <ns3:den>
              <ns3:r>
                <ns3:t>d</ns3:t>
              </ns3:r>
              <ns3:r>
                <ns3:t>t</ns3:t>
              </ns3:r>
            </ns3:den>
          </ns3:f>
          <ns3:r>
            <ns3:rPr>
              <ns3:sty ns3:val="p"/>
            </ns3:rPr>
            <ns3:t>=</ns3:t>
          </ns3:r>
          <ns3:r>
            <ns3:t>α</ns3:t>
          </ns3:r>
          <ns3:r>
            <ns3:rPr>
              <ns3:sty ns3:val="p"/>
            </ns3:rPr>
            <ns3:t>⋅</ns3:t>
          </ns3:r>
          <ns3:sSub>
            <ns3:e>
              <ns3:r>
                <ns3:rPr>
                  <ns3:sty ns3:val="p"/>
                </ns3:rPr>
                <ns3:t>Ψ</ns3:t>
              </ns3:r>
            </ns3:e>
            <ns3:sub>
              <ns3:r>
                <ns3:t>f</ns3:t>
              </ns3:r>
            </ns3:sub>
          </ns3:sSub>
          <ns3:r>
            <ns3:rPr>
              <ns3:sty ns3:val="p"/>
            </ns3:rPr>
            <ns3:t>(</ns3:t>
          </ns3:r>
          <ns3:r>
            <ns3:rPr>
              <ns3:nor/>
              <ns3:sty ns3:val="p"/>
            </ns3:rPr>
            <ns3:t>control allocation</ns3:t>
          </ns3:r>
          <ns3:r>
            <ns3:rPr>
              <ns3:sty ns3:val="p"/>
            </ns3:rPr>
            <ns3:t>)</ns3:t>
          </ns3:r>
          <ns3:r>
            <ns3:rPr>
              <ns3:sty ns3:val="p"/>
            </ns3:rPr>
            <ns3:t>−</ns3:t>
          </ns3:r>
          <ns3:r>
            <ns3:t>β</ns3:t>
          </ns3:r>
          <ns3:r>
            <ns3:rPr>
              <ns3:sty ns3:val="p"/>
            </ns3:rPr>
            <ns3:t>⋅</ns3:t>
          </ns3:r>
          <ns3:r>
            <ns3:rPr>
              <ns3:nor/>
              <ns3:sty ns3:val="p"/>
            </ns3:rPr>
            <ns3:t>Clearance</ns3:t>
          </ns3:r>
          <ns3:r>
            <ns3:rPr>
              <ns3:sty ns3:val="p"/>
            </ns3:rPr>
            <ns3:t>(</ns3:t>
          </ns3:r>
          <ns3:sSub>
            <ns3:e>
              <ns3:r>
                <ns3:t>θ</ns3:t>
              </ns3:r>
            </ns3:e>
            <ns3:sub>
              <ns3:r>
                <ns3:rPr>
                  <ns3:nor/>
                  <ns3:sty ns3:val="p"/>
                </ns3:rPr>
                <ns3:t>body</ns3:t>
              </ns3:r>
            </ns3:sub>
          </ns3:sSub>
          <ns3:r>
            <ns3:rPr>
              <ns3:sty ns3:val="p"/>
            </ns3:rPr>
            <ns3:t>)</ns3:t>
          </ns3:r>
        </ns3:oMath>
      </ns3:oMathPara>
    </w:p>
    <w:p>
      <w:pPr>
        <w:pStyle w:val="FirstParagraph"/>
      </w:pPr>
      <w:r>
        <w:t xml:space="preserve">where</w:t>
      </w:r>
      <w:r>
        <w:t xml:space="preserve"> </w:t>
      </w:r>
      <ns3:oMath>
        <ns3:r>
          <ns3:t>α</ns3:t>
        </ns3:r>
      </ns3:oMath>
      <w:r>
        <w:t xml:space="preserve"> </w:t>
      </w:r>
      <w:r>
        <w:t xml:space="preserve">is the friction-to-oxidative-load coupling coefficient and</w:t>
      </w:r>
      <w:r>
        <w:t xml:space="preserve"> </w:t>
      </w:r>
      <ns3:oMath>
        <ns3:r>
          <ns3:t>β</ns3:t>
        </ns3:r>
        <ns3:r>
          <ns3:rPr>
            <ns3:sty ns3:val="p"/>
          </ns3:rPr>
          <ns3:t>⋅</ns3:t>
        </ns3:r>
        <ns3:r>
          <ns3:rPr>
            <ns3:nor/>
            <ns3:sty ns3:val="p"/>
          </ns3:rPr>
          <ns3:t>Clearance</ns3:t>
        </ns3:r>
      </ns3:oMath>
      <w:r>
        <w:t xml:space="preserve"> </w:t>
      </w:r>
      <w:r>
        <w:t xml:space="preserve">represents antioxidant clearance capacity. Equation (9) is a simplified coupling model: the linear coupling</w:t>
      </w:r>
      <w:r>
        <w:t xml:space="preserve"> </w:t>
      </w:r>
      <ns3:oMath>
        <ns3:r>
          <ns3:t>α</ns3:t>
        </ns3:r>
        <ns3:r>
          <ns3:rPr>
            <ns3:sty ns3:val="p"/>
          </ns3:rPr>
          <ns3:t>⋅</ns3:t>
        </ns3:r>
        <ns3:sSub>
          <ns3:e>
            <ns3:r>
              <ns3:rPr>
                <ns3:sty ns3:val="p"/>
              </ns3:rPr>
              <ns3:t>Ψ</ns3:t>
            </ns3:r>
          </ns3:e>
          <ns3:sub>
            <ns3:r>
              <ns3:t>f</ns3:t>
            </ns3:r>
          </ns3:sub>
        </ns3:sSub>
      </ns3:oMath>
      <w:r>
        <w:t xml:space="preserve"> </w:t>
      </w:r>
      <w:r>
        <w:t xml:space="preserve">abstracts over multiple intervening biochemical steps (sustained neural metabolic demand</w:t>
      </w:r>
      <w:r>
        <w:t xml:space="preserve"> </w:t>
      </w:r>
      <ns3:oMath>
        <ns3:r>
          <ns3:rPr>
            <ns3:sty ns3:val="p"/>
          </ns3:rPr>
          <ns3:t>→</ns3:t>
        </ns3:r>
      </ns3:oMath>
      <w:r>
        <w:t xml:space="preserve"> </w:t>
      </w:r>
      <w:r>
        <w:t xml:space="preserve">mitochondrial electron-transport load</w:t>
      </w:r>
      <w:r>
        <w:t xml:space="preserve"> </w:t>
      </w:r>
      <ns3:oMath>
        <ns3:r>
          <ns3:rPr>
            <ns3:sty ns3:val="p"/>
          </ns3:rPr>
          <ns3:t>→</ns3:t>
        </ns3:r>
      </ns3:oMath>
      <w:r>
        <w:t xml:space="preserve"> </w:t>
      </w:r>
      <w:r>
        <w:t xml:space="preserve">superoxide production). In empirical use,</w:t>
      </w:r>
      <w:r>
        <w:t xml:space="preserve"> </w:t>
      </w:r>
      <ns3:oMath>
        <ns3:r>
          <ns3:t>α</ns3:t>
        </ns3:r>
      </ns3:oMath>
      <w:r>
        <w:t xml:space="preserve"> </w:t>
      </w:r>
      <w:r>
        <w:t xml:space="preserve">is a regression coefficient estimated from data, not a fixed biophysical constant; future mechanistic elaboration may replace the linear term with a saturating or threshold function. Measurable ROS biomarkers include GSH/GSSG, malondialdehyde (MDA), 8-OHdG, and superoxide dismutase (SOD) activity. This is deliberately positioned as a phase-3 extension after core low-cost validation succeeds.</w:t>
      </w:r>
    </w:p>
    <w:p>
      <w:pPr>
        <w:pStyle w:val="BodyText"/>
      </w:pPr>
      <w:r>
        <w:rPr>
          <w:b/>
          <w:bCs/>
        </w:rPr>
        <w:t xml:space="preserve">Falsification condition for ROS coupling.</w:t>
      </w:r>
      <w:r>
        <w:t xml:space="preserve"> </w:t>
      </w:r>
      <w:r>
        <w:t xml:space="preserve">If experimentally induced high-</w:t>
      </w:r>
      <ns3:oMath>
        <ns3:sSub>
          <ns3:e>
            <ns3:r>
              <ns3:rPr>
                <ns3:sty ns3:val="p"/>
              </ns3:rPr>
              <ns3:t>Ψ</ns3:t>
            </ns3:r>
          </ns3:e>
          <ns3:sub>
            <ns3:r>
              <ns3:t>f</ns3:t>
            </ns3:r>
          </ns3:sub>
        </ns3:sSub>
      </ns3:oMath>
      <w:r>
        <w:t xml:space="preserve"> </w:t>
      </w:r>
      <w:r>
        <w:t xml:space="preserve">tasks (e.g., sustained task-switching under time pressure) do not produce elevated ROS relative to low-</w:t>
      </w:r>
      <ns3:oMath>
        <ns3:sSub>
          <ns3:e>
            <ns3:r>
              <ns3:rPr>
                <ns3:sty ns3:val="p"/>
              </ns3:rPr>
              <ns3:t>Ψ</ns3:t>
            </ns3:r>
          </ns3:e>
          <ns3:sub>
            <ns3:r>
              <ns3:t>f</ns3:t>
            </ns3:r>
          </ns3:sub>
        </ns3:sSub>
      </ns3:oMath>
      <w:r>
        <w:t xml:space="preserve"> </w:t>
      </w:r>
      <w:r>
        <w:t xml:space="preserve">control tasks, or if antioxidant supplementation (increasing</w:t>
      </w:r>
      <w:r>
        <w:t xml:space="preserve"> </w:t>
      </w:r>
      <ns3:oMath>
        <ns3:r>
          <ns3:t>β</ns3:t>
        </ns3:r>
      </ns3:oMath>
      <w:r>
        <w:t xml:space="preserve">) does not modulate behavioral</w:t>
      </w:r>
      <w:r>
        <w:t xml:space="preserve"> </w:t>
      </w:r>
      <ns3:oMath>
        <ns3:sSub>
          <ns3:e>
            <ns3:r>
              <ns3:rPr>
                <ns3:sty ns3:val="p"/>
              </ns3:rPr>
              <ns3:t>Ψ</ns3:t>
            </ns3:r>
          </ns3:e>
          <ns3:sub>
            <ns3:r>
              <ns3:t>f</ns3:t>
            </ns3:r>
          </ns3:sub>
        </ns3:sSub>
      </ns3:oMath>
      <w:r>
        <w:t xml:space="preserve"> </w:t>
      </w:r>
      <w:r>
        <w:t xml:space="preserve">proxies, the ROS-friction coupling model is rejected.</w:t>
      </w:r>
    </w:p>
    <w:bookmarkEnd w:id="23"/>
    <w:bookmarkStart w:id="24" w:name="neural-proxies"/>
    <w:p>
      <w:pPr>
        <w:pStyle w:val="Heading3"/>
      </w:pPr>
      <w:r>
        <w:t xml:space="preserve">3.3 Neural Proxies</w:t>
      </w:r>
    </w:p>
    <w:p>
      <w:pPr>
        <w:pStyle w:val="FirstParagraph"/>
      </w:pPr>
      <w:r>
        <w:t xml:space="preserve">Neural proxies provide mechanistic depth but are not required for phase-1 falsification. They are treated as expansion modalities to test whether control-cost signatures generalize from low-cost measures to circuit-level dynamics.</w:t>
      </w:r>
    </w:p>
    <w:p>
      <w:pPr>
        <w:pStyle w:val="BodyText"/>
      </w:pPr>
      <w:r>
        <w:rPr>
          <w:b/>
          <w:bCs/>
        </w:rPr>
        <w:t xml:space="preserve">Perturbational Complexity Index (PCI).</w:t>
      </w:r>
      <w:r>
        <w:t xml:space="preserve"> </w:t>
      </w:r>
      <w:r>
        <w:t xml:space="preserve">PCI quantifies the complexity of the cortical response to transcranial magnetic stimulation perturbation, capturing the system’s capacity for differentiated, integrated processing (Casali et al., 2013). We interpret PCI as indexing the residual control capacity of the selection/gating system: high PCI reflects high residual</w:t>
      </w:r>
      <w:r>
        <w:t xml:space="preserve"> </w:t>
      </w:r>
      <ns3:oMath>
        <ns3:sSub>
          <ns3:e>
            <ns3:r>
              <ns3:t>P</ns3:t>
            </ns3:r>
          </ns3:e>
          <ns3:sub>
            <ns3:r>
              <ns3:rPr>
                <ns3:nor/>
                <ns3:sty ns3:val="p"/>
              </ns3:rPr>
              <ns3:t>sel</ns3:t>
            </ns3:r>
          </ns3:sub>
        </ns3:sSub>
      </ns3:oMath>
      <w:r>
        <w:t xml:space="preserve">, while low PCI reflects depleted capacity. PCI should decrease under high</w:t>
      </w:r>
      <w:r>
        <w:t xml:space="preserve"> </w:t>
      </w:r>
      <ns3:oMath>
        <ns3:sSub>
          <ns3:e>
            <ns3:r>
              <ns3:rPr>
                <ns3:sty ns3:val="p"/>
              </ns3:rPr>
              <ns3:t>Ψ</ns3:t>
            </ns3:r>
          </ns3:e>
          <ns3:sub>
            <ns3:r>
              <ns3:t>f</ns3:t>
            </ns3:r>
          </ns3:sub>
        </ns3:sSub>
      </ns3:oMath>
      <w:r>
        <w:t xml:space="preserve"> </w:t>
      </w:r>
      <w:r>
        <w:t xml:space="preserve">load and correlate negatively with behavioral</w:t>
      </w:r>
      <w:r>
        <w:t xml:space="preserve"> </w:t>
      </w:r>
      <ns3:oMath>
        <ns3:sSub>
          <ns3:e>
            <ns3:r>
              <ns3:rPr>
                <ns3:sty ns3:val="p"/>
              </ns3:rPr>
              <ns3:t>Ψ</ns3:t>
            </ns3:r>
          </ns3:e>
          <ns3:sub>
            <ns3:r>
              <ns3:t>f</ns3:t>
            </ns3:r>
          </ns3:sub>
        </ns3:sSub>
      </ns3:oMath>
      <w:r>
        <w:t xml:space="preserve"> </w:t>
      </w:r>
      <w:r>
        <w:t xml:space="preserve">proxies.</w:t>
      </w:r>
    </w:p>
    <w:p>
      <w:pPr>
        <w:pStyle w:val="BodyText"/>
      </w:pPr>
      <w:r>
        <w:rPr>
          <w:b/>
          <w:bCs/>
        </w:rPr>
        <w:t xml:space="preserve">Fisher information metric.</w:t>
      </w:r>
      <w:r>
        <w:t xml:space="preserve"> </w:t>
      </w:r>
      <w:r>
        <w:t xml:space="preserve">The Fisher information matrix</w:t>
      </w:r>
      <w:r>
        <w:t xml:space="preserve"> </w:t>
      </w:r>
      <ns3:oMath>
        <ns3:sSub>
          <ns3:e>
            <ns3:r>
              <ns3:t>g</ns3:t>
            </ns3:r>
          </ns3:e>
          <ns3:sub>
            <ns3:r>
              <ns3:t>F</ns3:t>
            </ns3:r>
          </ns3:sub>
        </ns3:sSub>
      </ns3:oMath>
      <w:r>
        <w:t xml:space="preserve"> </w:t>
      </w:r>
      <w:r>
        <w:t xml:space="preserve">captures the curvature of the neural state-space manifold — how sharply the system’s responses change as parameters vary. We propose that the empirical Fisher condition number</w:t>
      </w:r>
      <w:r>
        <w:t xml:space="preserve"> </w:t>
      </w:r>
      <ns3:oMath>
        <ns3:r>
          <ns3:rPr>
            <ns3:sty ns3:val="p"/>
          </ns3:rPr>
          <ns3:t>log</ns3:t>
        </ns3:r>
        <ns3:r>
          <ns3:t>κ</ns3:t>
        </ns3:r>
        <ns3:r>
          <ns3:rPr>
            <ns3:sty ns3:val="p"/>
          </ns3:rPr>
          <ns3:t>(</ns3:t>
        </ns3:r>
        <ns3:sSub>
          <ns3:e>
            <ns3:r>
              <ns3:t>g</ns3:t>
            </ns3:r>
          </ns3:e>
          <ns3:sub>
            <ns3:r>
              <ns3:t>F</ns3:t>
            </ns3:r>
          </ns3:sub>
        </ns3:sSub>
        <ns3:r>
          <ns3:rPr>
            <ns3:sty ns3:val="p"/>
          </ns3:rPr>
          <ns3:t>)</ns3:t>
        </ns3:r>
      </ns3:oMath>
      <w:r>
        <w:t xml:space="preserve">, the Fisher volume term</w:t>
      </w:r>
      <w:r>
        <w:t xml:space="preserve"> </w:t>
      </w:r>
      <ns3:oMath>
        <ns3:r>
          <ns3:rPr>
            <ns3:sty ns3:val="p"/>
          </ns3:rPr>
          <ns3:t>log</ns3:t>
        </ns3:r>
        <ns3:r>
          <ns3:rPr>
            <ns3:sty ns3:val="p"/>
          </ns3:rPr>
          <ns3:t>det</ns3:t>
        </ns3:r>
        <ns3:r>
          <ns3:rPr>
            <ns3:sty ns3:val="p"/>
          </ns3:rPr>
          <ns3:t>(</ns3:t>
        </ns3:r>
        <ns3:sSub>
          <ns3:e>
            <ns3:r>
              <ns3:t>g</ns3:t>
            </ns3:r>
          </ns3:e>
          <ns3:sub>
            <ns3:r>
              <ns3:t>F</ns3:t>
            </ns3:r>
          </ns3:sub>
        </ns3:sSub>
        <ns3:r>
          <ns3:rPr>
            <ns3:sty ns3:val="p"/>
          </ns3:rPr>
          <ns3:t>)</ns3:t>
        </ns3:r>
      </ns3:oMath>
      <w:r>
        <w:t xml:space="preserve">, and the maximum eigenvalue drift</w:t>
      </w:r>
      <w:r>
        <w:t xml:space="preserve"> </w:t>
      </w:r>
      <ns3:oMath>
        <ns3:sSub>
          <ns3:e>
            <ns3:r>
              <ns3:t>λ</ns3:t>
            </ns3:r>
          </ns3:e>
          <ns3:sub>
            <ns3:r>
              <ns3:rPr>
                <ns3:sty ns3:val="p"/>
              </ns3:rPr>
              <ns3:t>max</ns3:t>
            </ns3:r>
          </ns3:sub>
        </ns3:sSub>
        <ns3:r>
          <ns3:rPr>
            <ns3:sty ns3:val="p"/>
          </ns3:rPr>
          <ns3:t>(</ns3:t>
        </ns3:r>
        <ns3:sSub>
          <ns3:e>
            <ns3:r>
              <ns3:t>g</ns3:t>
            </ns3:r>
          </ns3:e>
          <ns3:sub>
            <ns3:r>
              <ns3:t>F</ns3:t>
            </ns3:r>
          </ns3:sub>
        </ns3:sSub>
        <ns3:r>
          <ns3:rPr>
            <ns3:sty ns3:val="p"/>
          </ns3:rPr>
          <ns3:t>)</ns3:t>
        </ns3:r>
      </ns3:oMath>
      <w:r>
        <w:t xml:space="preserve"> </w:t>
      </w:r>
      <w:r>
        <w:t xml:space="preserve">serve as neural proxies for</w:t>
      </w:r>
      <w:r>
        <w:t xml:space="preserve"> </w:t>
      </w:r>
      <ns3:oMath>
        <ns3:sSub>
          <ns3:e>
            <ns3:r>
              <ns3:rPr>
                <ns3:sty ns3:val="p"/>
              </ns3:rPr>
              <ns3:t>Ψ</ns3:t>
            </ns3:r>
          </ns3:e>
          <ns3:sub>
            <ns3:r>
              <ns3:t>f</ns3:t>
            </ns3:r>
          </ns3:sub>
        </ns3:sSub>
      </ns3:oMath>
      <w:r>
        <w:t xml:space="preserve"> </w:t>
      </w:r>
      <w:r>
        <w:t xml:space="preserve">during state transitions (Amari, 2016). Specifically, transitions between cognitive states (e.g., task switches) should produce Fisher metric peaks</w:t>
      </w:r>
      <w:r>
        <w:t xml:space="preserve"> </w:t>
      </w:r>
      <w:r>
        <w:rPr>
          <w:i/>
          <w:iCs/>
        </w:rPr>
        <w:t xml:space="preserve">preceding</w:t>
      </w:r>
      <w:r>
        <w:t xml:space="preserve"> </w:t>
      </w:r>
      <w:r>
        <w:t xml:space="preserve">behavioral performance degradation — a</w:t>
      </w:r>
      <w:r>
        <w:t xml:space="preserve"> </w:t>
      </w:r>
      <w:r>
        <w:t xml:space="preserve">“structural reconfiguration signal”</w:t>
      </w:r>
      <w:r>
        <w:t xml:space="preserve"> </w:t>
      </w:r>
      <w:r>
        <w:t xml:space="preserve">that indexes friction before it manifests behaviorally.</w:t>
      </w:r>
    </w:p>
    <w:p>
      <w:pPr>
        <w:pStyle w:val="BodyText"/>
      </w:pPr>
      <w:r>
        <w:rPr>
          <w:b/>
          <w:bCs/>
        </w:rPr>
        <w:t xml:space="preserve">Theta-gamma coupling in prefrontal cortex.</w:t>
      </w:r>
      <w:r>
        <w:t xml:space="preserve"> </w:t>
      </w:r>
      <w:r>
        <w:t xml:space="preserve">Theta-phase/gamma-amplitude coupling (TGC) in prefrontal regions implements a multiplexing mechanism that constrains working memory capacity to approximately 5–7 items (Lisman and Idiart, 1995; Lundqvist et al., 2011). We interpret TGC integrity as an index of selection capacity: degraded TGC under high</w:t>
      </w:r>
      <w:r>
        <w:t xml:space="preserve"> </w:t>
      </w:r>
      <ns3:oMath>
        <ns3:sSub>
          <ns3:e>
            <ns3:r>
              <ns3:rPr>
                <ns3:sty ns3:val="p"/>
              </ns3:rPr>
              <ns3:t>Ψ</ns3:t>
            </ns3:r>
          </ns3:e>
          <ns3:sub>
            <ns3:r>
              <ns3:t>f</ns3:t>
            </ns3:r>
          </ns3:sub>
        </ns3:sSub>
      </ns3:oMath>
      <w:r>
        <w:t xml:space="preserve"> </w:t>
      </w:r>
      <w:r>
        <w:t xml:space="preserve">should predict working memory failures and executive breakdowns. Specifically, the phase-amplitude coupling modulation index (Tort et al., 2010) should decrease as behavioral</w:t>
      </w:r>
      <w:r>
        <w:t xml:space="preserve"> </w:t>
      </w:r>
      <ns3:oMath>
        <ns3:sSub>
          <ns3:e>
            <ns3:r>
              <ns3:rPr>
                <ns3:sty ns3:val="p"/>
              </ns3:rPr>
              <ns3:t>Ψ</ns3:t>
            </ns3:r>
          </ns3:e>
          <ns3:sub>
            <ns3:r>
              <ns3:t>f</ns3:t>
            </ns3:r>
          </ns3:sub>
        </ns3:sSub>
      </ns3:oMath>
      <w:r>
        <w:t xml:space="preserve"> </w:t>
      </w:r>
      <w:r>
        <w:t xml:space="preserve">composite scores increase.</w:t>
      </w:r>
    </w:p>
    <w:p>
      <w:pPr>
        <w:pStyle w:val="BodyText"/>
      </w:pPr>
      <w:r>
        <w:rPr>
          <w:b/>
          <w:bCs/>
        </w:rPr>
        <w:t xml:space="preserve">Thalamo–basal ganglia gating integrity.</w:t>
      </w:r>
      <w:r>
        <w:t xml:space="preserve"> </w:t>
      </w:r>
      <w:r>
        <w:t xml:space="preserve">The thalamus–basal ganglia circuit functions as a selection gate that determines which candidate action trajectories are projected into overt execution. Gate integrity can be indexed through reinforcement-learning model parameters (learning rate, exploration-exploitation balance) derived from probabilistic reversal-learning tasks (Frank et al., 2004). Degraded gating — as in Parkinson’s disease — should produce specifically elevated</w:t>
      </w:r>
      <w:r>
        <w:t xml:space="preserve"> </w:t>
      </w:r>
      <ns3:oMath>
        <ns3:sSub>
          <ns3:e>
            <ns3:r>
              <ns3:rPr>
                <ns3:sty ns3:val="p"/>
              </ns3:rPr>
              <ns3:t>Ψ</ns3:t>
            </ns3:r>
          </ns3:e>
          <ns3:sub>
            <ns3:r>
              <ns3:t>f</ns3:t>
            </ns3:r>
          </ns3:sub>
        </ns3:sSub>
      </ns3:oMath>
      <w:r>
        <w:t xml:space="preserve"> </w:t>
      </w:r>
      <w:r>
        <w:t xml:space="preserve">for action initiation while leaving cognitive</w:t>
      </w:r>
      <w:r>
        <w:t xml:space="preserve"> </w:t>
      </w:r>
      <ns3:oMath>
        <ns3:sSub>
          <ns3:e>
            <ns3:r>
              <ns3:rPr>
                <ns3:sty ns3:val="p"/>
              </ns3:rPr>
              <ns3:t>Ψ</ns3:t>
            </ns3:r>
          </ns3:e>
          <ns3:sub>
            <ns3:r>
              <ns3:t>f</ns3:t>
            </ns3:r>
          </ns3:sub>
        </ns3:sSub>
      </ns3:oMath>
      <w:r>
        <w:t xml:space="preserve"> </w:t>
      </w:r>
      <w:r>
        <w:t xml:space="preserve">relatively preserved.</w:t>
      </w:r>
    </w:p>
    <w:bookmarkEnd w:id="24"/>
    <w:bookmarkStart w:id="25" w:name="X1f30607e897a8c38fc2232dc92fd5f4bad40ab4"/>
    <w:p>
      <w:pPr>
        <w:pStyle w:val="Heading3"/>
      </w:pPr>
      <w:r>
        <w:t xml:space="preserve">3.4 Linguistic Proxy: The Modal Mechanics Probe</w:t>
      </w:r>
    </w:p>
    <w:p>
      <w:pPr>
        <w:pStyle w:val="FirstParagraph"/>
      </w:pPr>
      <w:r>
        <w:t xml:space="preserve">We introduce a novel, non-invasive proxy for</w:t>
      </w:r>
      <w:r>
        <w:t xml:space="preserve"> </w:t>
      </w:r>
      <ns3:oMath>
        <ns3:sSub>
          <ns3:e>
            <ns3:r>
              <ns3:rPr>
                <ns3:sty ns3:val="p"/>
              </ns3:rPr>
              <ns3:t>Ψ</ns3:t>
            </ns3:r>
          </ns3:e>
          <ns3:sub>
            <ns3:r>
              <ns3:t>f</ns3:t>
            </ns3:r>
          </ns3:sub>
        </ns3:sSub>
      </ns3:oMath>
      <w:r>
        <w:t xml:space="preserve"> </w:t>
      </w:r>
      <w:r>
        <w:t xml:space="preserve">based on the distribution of modal verbs in natural language production. We term this the</w:t>
      </w:r>
      <w:r>
        <w:t xml:space="preserve"> </w:t>
      </w:r>
      <w:r>
        <w:rPr>
          <w:i/>
          <w:iCs/>
        </w:rPr>
        <w:t xml:space="preserve">modal mechanics probe</w:t>
      </w:r>
      <w:r>
        <w:t xml:space="preserve"> </w:t>
      </w:r>
      <w:r>
        <w:t xml:space="preserve">(hypothesis H72 in the present framework).</w:t>
      </w:r>
    </w:p>
    <w:p>
      <w:pPr>
        <w:pStyle w:val="BodyText"/>
      </w:pPr>
      <w:r>
        <w:rPr>
          <w:b/>
          <w:bCs/>
        </w:rPr>
        <w:t xml:space="preserve">Theoretical rationale.</w:t>
      </w:r>
      <w:r>
        <w:t xml:space="preserve"> </w:t>
      </w:r>
      <w:r>
        <w:t xml:space="preserve">Modal verbs encode speakers’ orientation toward necessity, obligation, possibility, and desire (Palmer, 2001; van der Auwera and Plungian, 1998). The deontic–epistemic distinction in linguistic typology (Nuyts, 2001) maps directly onto an agency dimension: deontic modals (must, should, have to) express external or internalized obligations constraining action, while dynamic modals (can, want to, choose to) express the speaker’s capacity or willingness to act. Developmental evidence shows that children acquire possibility modals before necessity modals, paralleling the emergence of agency and self-regulation (Papafragou, 2000), suggesting that modal usage tracks experienced control capacity from early in language development. We hypothesize that the balance between</w:t>
      </w:r>
      <w:r>
        <w:t xml:space="preserve"> </w:t>
      </w:r>
      <w:r>
        <w:rPr>
          <w:i/>
          <w:iCs/>
        </w:rPr>
        <w:t xml:space="preserve">constraint-oriented</w:t>
      </w:r>
      <w:r>
        <w:t xml:space="preserve"> </w:t>
      </w:r>
      <w:r>
        <w:t xml:space="preserve">modals (must, should, have to, cannot) and</w:t>
      </w:r>
      <w:r>
        <w:t xml:space="preserve"> </w:t>
      </w:r>
      <w:r>
        <w:rPr>
          <w:i/>
          <w:iCs/>
        </w:rPr>
        <w:t xml:space="preserve">possibility-oriented</w:t>
      </w:r>
      <w:r>
        <w:t xml:space="preserve"> </w:t>
      </w:r>
      <w:r>
        <w:t xml:space="preserve">modals (can, might, could, want to) reflects the speaker’s experienced level of executive friction. High</w:t>
      </w:r>
      <w:r>
        <w:t xml:space="preserve"> </w:t>
      </w:r>
      <ns3:oMath>
        <ns3:sSub>
          <ns3:e>
            <ns3:r>
              <ns3:rPr>
                <ns3:sty ns3:val="p"/>
              </ns3:rPr>
              <ns3:t>Ψ</ns3:t>
            </ns3:r>
          </ns3:e>
          <ns3:sub>
            <ns3:r>
              <ns3:t>f</ns3:t>
            </ns3:r>
          </ns3:sub>
        </ns3:sSub>
      </ns3:oMath>
      <w:r>
        <w:t xml:space="preserve"> </w:t>
      </w:r>
      <w:r>
        <w:t xml:space="preserve">— experienced as constraint, obligation, and restriction — should bias language production toward constraint modals. Low</w:t>
      </w:r>
      <w:r>
        <w:t xml:space="preserve"> </w:t>
      </w:r>
      <ns3:oMath>
        <ns3:sSub>
          <ns3:e>
            <ns3:r>
              <ns3:rPr>
                <ns3:sty ns3:val="p"/>
              </ns3:rPr>
              <ns3:t>Ψ</ns3:t>
            </ns3:r>
          </ns3:e>
          <ns3:sub>
            <ns3:r>
              <ns3:t>f</ns3:t>
            </ns3:r>
          </ns3:sub>
        </ns3:sSub>
      </ns3:oMath>
      <w:r>
        <w:t xml:space="preserve"> </w:t>
      </w:r>
      <w:r>
        <w:t xml:space="preserve">— experienced as agency, possibility, and flow — should bias toward possibility modals.</w:t>
      </w:r>
    </w:p>
    <w:p>
      <w:pPr>
        <w:pStyle w:val="BodyText"/>
      </w:pPr>
      <w:r>
        <w:t xml:space="preserve">This directionality is consistent with broader evidence that clinically relevant affective-control states leave measurable signatures in language production (Rude et al., 2004), including large-scale clinical NLP evidence that natural language markers can prospectively index depression risk (Eichstaedt et al., 2018). While these prior studies focused on pronoun use and general negative affect words rather than modal verbs specifically, the present proposal extends the same logic to a targeted, mechanistically interpretable subchannel: if control cost constrains action selection, and modal verbs encode the speaker’s perceived action affordances, then modal distributions should function as a semantic readout of control-cost state. This bridge between psycholinguistic modal semantics and executive-control cost is explicitly exploratory and constitutes a novel cross-disciplinary hypothesis to be adjudicated by H72.</w:t>
      </w:r>
    </w:p>
    <w:p>
      <w:pPr>
        <w:pStyle w:val="BodyText"/>
      </w:pPr>
      <w:r>
        <w:rPr>
          <w:b/>
          <w:bCs/>
        </w:rPr>
        <w:t xml:space="preserve">Neurobiological plausibility.</w:t>
      </w:r>
      <w:r>
        <w:t xml:space="preserve"> </w:t>
      </w:r>
      <w:r>
        <w:t xml:space="preserve">We do not treat</w:t>
      </w:r>
      <w:r>
        <w:t xml:space="preserve"> </w:t>
      </w:r>
      <ns3:oMath>
        <ns3:sSub>
          <ns3:e>
            <ns3:r>
              <ns3:t>μ</ns3:t>
            </ns3:r>
          </ns3:e>
          <ns3:sub>
            <ns3:r>
              <ns3:rPr>
                <ns3:nor/>
                <ns3:sty ns3:val="p"/>
              </ns3:rPr>
              <ns3:t>sem</ns3:t>
            </ns3:r>
          </ns3:sub>
        </ns3:sSub>
      </ns3:oMath>
      <w:r>
        <w:t xml:space="preserve"> </w:t>
      </w:r>
      <w:r>
        <w:t xml:space="preserve">as a purely stylistic marker. Under cognitive-control and embodied language accounts, lexical selection under conflict depends on frontally mediated control allocation and policy constraints (Miller and Cohen, 2001; Diamond, 2013). On this view, constraint-heavy modal output is interpretable as a semantic spillover of high control demand, i.e., a downstream linguistic footprint of constrained control budgets rather than a detached linguistic artifact.</w:t>
      </w:r>
    </w:p>
    <w:p>
      <w:pPr>
        <w:pStyle w:val="BodyText"/>
      </w:pPr>
      <w:r>
        <w:rPr>
          <w:b/>
          <w:bCs/>
        </w:rPr>
        <w:t xml:space="preserve">Operational definition.</w:t>
      </w:r>
      <w:r>
        <w:t xml:space="preserve"> </w:t>
      </w:r>
      <w:r>
        <w:t xml:space="preserve">The semantic modal ratio</w:t>
      </w:r>
      <w:r>
        <w:t xml:space="preserve"> </w:t>
      </w:r>
      <ns3:oMath>
        <ns3:sSub>
          <ns3:e>
            <ns3:r>
              <ns3:t>μ</ns3:t>
            </ns3:r>
          </ns3:e>
          <ns3:sub>
            <ns3:r>
              <ns3:rPr>
                <ns3:nor/>
                <ns3:sty ns3:val="p"/>
              </ns3:rPr>
              <ns3:t>sem</ns3:t>
            </ns3:r>
          </ns3:sub>
        </ns3:sSub>
      </ns3:oMath>
      <w:r>
        <w:t xml:space="preserve"> </w:t>
      </w:r>
      <w:r>
        <w:t xml:space="preserve">is defined as:</w:t>
      </w:r>
    </w:p>
    <w:p>
      <w:pPr>
        <w:pStyle w:val="BodyText"/>
      </w:pPr>
      <ns3:oMathPara>
        <ns3:oMathParaPr>
          <ns3:jc ns3:val="center"/>
        </ns3:oMathParaPr>
        <ns3:oMath>
          <ns3:sSub>
            <ns3:e>
              <ns3:r>
                <ns3:t>μ</ns3:t>
              </ns3:r>
            </ns3:e>
            <ns3:sub>
              <ns3:r>
                <ns3:rPr>
                  <ns3:nor/>
                  <ns3:sty ns3:val="p"/>
                </ns3:rPr>
                <ns3:t>sem</ns3:t>
              </ns3:r>
            </ns3:sub>
          </ns3:sSub>
          <ns3:r>
            <ns3:rPr>
              <ns3:sty ns3:val="p"/>
            </ns3:rPr>
            <ns3:t>=</ns3:t>
          </ns3:r>
          <ns3:f>
            <ns3:fPr>
              <ns3:type ns3:val="bar"/>
            </ns3:fPr>
            <ns3:num>
              <ns3:nary>
                <ns3:naryPr>
                  <ns3:chr ns3:val="∑"/>
                  <ns3:limLoc ns3:val="undOvr"/>
                  <ns3:subHide ns3:val="off"/>
                  <ns3:supHide ns3:val="on"/>
                </ns3:naryPr>
                <ns3:sub>
                  <ns3:r>
                    <ns3:t>i</ns3:t>
                  </ns3:r>
                </ns3:sub>
                <ns3:sup>
                  <ns3:r>
                    <ns3:t>​</ns3:t>
                  </ns3:r>
                </ns3:sup>
                <ns3:e>
                  <ns3:sSub>
                    <ns3:e>
                      <ns3:r>
                        <ns3:t>w</ns3:t>
                      </ns3:r>
                    </ns3:e>
                    <ns3:sub>
                      <ns3:r>
                        <ns3:t>i</ns3:t>
                      </ns3:r>
                    </ns3:sub>
                  </ns3:sSub>
                </ns3:e>
              </ns3:nary>
              <ns3:r>
                <ns3:rPr>
                  <ns3:sty ns3:val="p"/>
                </ns3:rPr>
                <ns3:t>⋅</ns3:t>
              </ns3:r>
              <ns3:r>
                <ns3:rPr>
                  <ns3:nor/>
                  <ns3:sty ns3:val="p"/>
                </ns3:rPr>
                <ns3:t>Freq</ns3:t>
              </ns3:r>
              <ns3:r>
                <ns3:rPr>
                  <ns3:sty ns3:val="p"/>
                </ns3:rPr>
                <ns3:t>(</ns3:t>
              </ns3:r>
              <ns3:sSub>
                <ns3:e>
                  <ns3:r>
                    <ns3:rPr>
                      <ns3:nor/>
                      <ns3:sty ns3:val="p"/>
                    </ns3:rPr>
                    <ns3:t>constraint modal</ns3:t>
                  </ns3:r>
                </ns3:e>
                <ns3:sub>
                  <ns3:r>
                    <ns3:t>i</ns3:t>
                  </ns3:r>
                </ns3:sub>
              </ns3:sSub>
              <ns3:r>
                <ns3:rPr>
                  <ns3:sty ns3:val="p"/>
                </ns3:rPr>
                <ns3:t>)</ns3:t>
              </ns3:r>
            </ns3:num>
            <ns3:den>
              <ns3:nary>
                <ns3:naryPr>
                  <ns3:chr ns3:val="∑"/>
                  <ns3:limLoc ns3:val="undOvr"/>
                  <ns3:subHide ns3:val="off"/>
                  <ns3:supHide ns3:val="on"/>
                </ns3:naryPr>
                <ns3:sub>
                  <ns3:r>
                    <ns3:t>j</ns3:t>
                  </ns3:r>
                </ns3:sub>
                <ns3:sup>
                  <ns3:r>
                    <ns3:t>​</ns3:t>
                  </ns3:r>
                </ns3:sup>
                <ns3:e>
                  <ns3:sSub>
                    <ns3:e>
                      <ns3:r>
                        <ns3:t>w</ns3:t>
                      </ns3:r>
                    </ns3:e>
                    <ns3:sub>
                      <ns3:r>
                        <ns3:t>j</ns3:t>
                      </ns3:r>
                    </ns3:sub>
                  </ns3:sSub>
                </ns3:e>
              </ns3:nary>
              <ns3:r>
                <ns3:rPr>
                  <ns3:sty ns3:val="p"/>
                </ns3:rPr>
                <ns3:t>⋅</ns3:t>
              </ns3:r>
              <ns3:r>
                <ns3:rPr>
                  <ns3:nor/>
                  <ns3:sty ns3:val="p"/>
                </ns3:rPr>
                <ns3:t>Freq</ns3:t>
              </ns3:r>
              <ns3:r>
                <ns3:rPr>
                  <ns3:sty ns3:val="p"/>
                </ns3:rPr>
                <ns3:t>(</ns3:t>
              </ns3:r>
              <ns3:sSub>
                <ns3:e>
                  <ns3:r>
                    <ns3:rPr>
                      <ns3:nor/>
                      <ns3:sty ns3:val="p"/>
                    </ns3:rPr>
                    <ns3:t>possibility modal</ns3:t>
                  </ns3:r>
                </ns3:e>
                <ns3:sub>
                  <ns3:r>
                    <ns3:t>j</ns3:t>
                  </ns3:r>
                </ns3:sub>
              </ns3:sSub>
              <ns3:r>
                <ns3:rPr>
                  <ns3:sty ns3:val="p"/>
                </ns3:rPr>
                <ns3:t>)</ns3:t>
              </ns3:r>
            </ns3:den>
          </ns3:f>
        </ns3:oMath>
      </ns3:oMathPara>
    </w:p>
    <w:p>
      <w:pPr>
        <w:pStyle w:val="FirstParagraph"/>
      </w:pPr>
      <w:r>
        <w:t xml:space="preserve">where</w:t>
      </w:r>
      <w:r>
        <w:t xml:space="preserve"> </w:t>
      </w:r>
      <ns3:oMath>
        <ns3:sSub>
          <ns3:e>
            <ns3:r>
              <ns3:t>w</ns3:t>
            </ns3:r>
          </ns3:e>
          <ns3:sub>
            <ns3:r>
              <ns3:t>i</ns3:t>
            </ns3:r>
          </ns3:sub>
        </ns3:sSub>
        <ns3:r>
          <ns3:rPr>
            <ns3:sty ns3:val="p"/>
          </ns3:rPr>
          <ns3:t>,</ns3:t>
        </ns3:r>
        <ns3:sSub>
          <ns3:e>
            <ns3:r>
              <ns3:t>w</ns3:t>
            </ns3:r>
          </ns3:e>
          <ns3:sub>
            <ns3:r>
              <ns3:t>j</ns3:t>
            </ns3:r>
          </ns3:sub>
        </ns3:sSub>
      </ns3:oMath>
      <w:r>
        <w:t xml:space="preserve"> </w:t>
      </w:r>
      <w:r>
        <w:t xml:space="preserve">are domain-specific weights (initially set to 1.0 for equal weighting) and Freq denotes frequency per 1000 words in a transcribed speech sample. Constraint modals include:</w:t>
      </w:r>
      <w:r>
        <w:t xml:space="preserve"> </w:t>
      </w:r>
      <w:r>
        <w:rPr>
          <w:i/>
          <w:iCs/>
        </w:rPr>
        <w:t xml:space="preserve">must, have to, need to, should, ought to, cannot, must not</w:t>
      </w:r>
      <w:r>
        <w:t xml:space="preserve">. Possibility modals include:</w:t>
      </w:r>
      <w:r>
        <w:t xml:space="preserve"> </w:t>
      </w:r>
      <w:r>
        <w:rPr>
          <w:i/>
          <w:iCs/>
        </w:rPr>
        <w:t xml:space="preserve">can, could, may, might, want to, would like to, choose to</w:t>
      </w:r>
      <w:r>
        <w:t xml:space="preserve">.</w:t>
      </w:r>
    </w:p>
    <w:p>
      <w:pPr>
        <w:pStyle w:val="BodyText"/>
      </w:pPr>
      <w:r>
        <w:rPr>
          <w:b/>
          <w:bCs/>
        </w:rPr>
        <w:t xml:space="preserve">Reproducible scoring protocol and confound control.</w:t>
      </w:r>
      <w:r>
        <w:t xml:space="preserve"> </w:t>
      </w:r>
      <w:r>
        <w:t xml:space="preserve">To make</w:t>
      </w:r>
      <w:r>
        <w:t xml:space="preserve"> </w:t>
      </w:r>
      <ns3:oMath>
        <ns3:sSub>
          <ns3:e>
            <ns3:r>
              <ns3:t>μ</ns3:t>
            </ns3:r>
          </ns3:e>
          <ns3:sub>
            <ns3:r>
              <ns3:rPr>
                <ns3:nor/>
                <ns3:sty ns3:val="p"/>
              </ns3:rPr>
              <ns3:t>sem</ns3:t>
            </ns3:r>
          </ns3:sub>
        </ns3:sSub>
      </ns3:oMath>
      <w:r>
        <w:t xml:space="preserve"> </w:t>
      </w:r>
      <w:r>
        <w:t xml:space="preserve">scale-like rather than anecdotal, we use a residualized score:</w:t>
      </w:r>
    </w:p>
    <w:p>
      <w:pPr>
        <w:pStyle w:val="BodyText"/>
      </w:pPr>
      <ns3:oMathPara>
        <ns3:oMathParaPr>
          <ns3:jc ns3:val="center"/>
        </ns3:oMathParaPr>
        <ns3:oMath>
          <ns3:eqArr>
            <ns3:e>
              <ns3:r>
                <ns3:rPr>
                  <ns3:sty ns3:val="p"/>
                </ns3:rPr>
                <ns3:t>log</ns3:t>
              </ns3:r>
              <ns3:sSub>
                <ns3:e>
                  <ns3:r>
                    <ns3:t>μ</ns3:t>
                  </ns3:r>
                </ns3:e>
                <ns3:sub>
                  <ns3:r>
                    <ns3:rPr>
                      <ns3:nor/>
                      <ns3:sty ns3:val="p"/>
                    </ns3:rPr>
                    <ns3:t>sem</ns3:t>
                  </ns3:r>
                </ns3:sub>
              </ns3:sSub>
              <ns3:r>
                <ns3:rPr>
                  <ns3:sty ns3:val="p"/>
                </ns3:rPr>
                <ns3:t>=</ns3:t>
              </ns3:r>
              <ns3:r>
                <ns3:t>​</ns3:t>
              </ns3:r>
              <ns3:r>
                <ns3:t>&amp;</ns3:t>
              </ns3:r>
              <ns3:sSub>
                <ns3:e>
                  <ns3:r>
                    <ns3:t>b</ns3:t>
                  </ns3:r>
                </ns3:e>
                <ns3:sub>
                  <ns3:r>
                    <ns3:t>0</ns3:t>
                  </ns3:r>
                </ns3:sub>
              </ns3:sSub>
              <ns3:r>
                <ns3:rPr>
                  <ns3:sty ns3:val="p"/>
                </ns3:rPr>
                <ns3:t>+</ns3:t>
              </ns3:r>
              <ns3:sSub>
                <ns3:e>
                  <ns3:r>
                    <ns3:t>b</ns3:t>
                  </ns3:r>
                </ns3:e>
                <ns3:sub>
                  <ns3:r>
                    <ns3:t>1</ns3:t>
                  </ns3:r>
                </ns3:sub>
              </ns3:sSub>
              <ns3:r>
                <ns3:rPr>
                  <ns3:nor/>
                  <ns3:sty ns3:val="p"/>
                </ns3:rPr>
                <ns3:t>Education</ns3:t>
              </ns3:r>
              <ns3:r>
                <ns3:rPr>
                  <ns3:sty ns3:val="p"/>
                </ns3:rPr>
                <ns3:t>+</ns3:t>
              </ns3:r>
              <ns3:sSub>
                <ns3:e>
                  <ns3:r>
                    <ns3:t>b</ns3:t>
                  </ns3:r>
                </ns3:e>
                <ns3:sub>
                  <ns3:r>
                    <ns3:t>2</ns3:t>
                  </ns3:r>
                </ns3:sub>
              </ns3:sSub>
              <ns3:r>
                <ns3:rPr>
                  <ns3:nor/>
                  <ns3:sty ns3:val="p"/>
                </ns3:rPr>
                <ns3:t>PromptType</ns3:t>
              </ns3:r>
              <ns3:r>
                <ns3:rPr>
                  <ns3:sty ns3:val="p"/>
                </ns3:rPr>
                <ns3:t>+</ns3:t>
              </ns3:r>
              <ns3:sSub>
                <ns3:e>
                  <ns3:r>
                    <ns3:t>b</ns3:t>
                  </ns3:r>
                </ns3:e>
                <ns3:sub>
                  <ns3:r>
                    <ns3:t>3</ns3:t>
                  </ns3:r>
                </ns3:sub>
              </ns3:sSub>
              <ns3:r>
                <ns3:rPr>
                  <ns3:nor/>
                  <ns3:sty ns3:val="p"/>
                </ns3:rPr>
                <ns3:t>Interviewer</ns3:t>
              </ns3:r>
            </ns3:e>
            <ns3:e>
              <ns3:r>
                <ns3:t>&amp;</ns3:t>
              </ns3:r>
              <ns3:r>
                <ns3:rPr>
                  <ns3:sty ns3:val="p"/>
                </ns3:rPr>
                <ns3:t>+</ns3:t>
              </ns3:r>
              <ns3:sSub>
                <ns3:e>
                  <ns3:r>
                    <ns3:t>b</ns3:t>
                  </ns3:r>
                </ns3:e>
                <ns3:sub>
                  <ns3:r>
                    <ns3:t>4</ns3:t>
                  </ns3:r>
                </ns3:sub>
              </ns3:sSub>
              <ns3:r>
                <ns3:rPr>
                  <ns3:nor/>
                  <ns3:sty ns3:val="p"/>
                </ns3:rPr>
                <ns3:t>AffectLexiconRatio</ns3:t>
              </ns3:r>
              <ns3:r>
                <ns3:rPr>
                  <ns3:sty ns3:val="p"/>
                </ns3:rPr>
                <ns3:t>+</ns3:t>
              </ns3:r>
              <ns3:sSub>
                <ns3:e>
                  <ns3:r>
                    <ns3:t>b</ns3:t>
                  </ns3:r>
                </ns3:e>
                <ns3:sub>
                  <ns3:r>
                    <ns3:t>5</ns3:t>
                  </ns3:r>
                </ns3:sub>
              </ns3:sSub>
              <ns3:r>
                <ns3:rPr>
                  <ns3:nor/>
                  <ns3:sty ns3:val="p"/>
                </ns3:rPr>
                <ns3:t>TokenCount</ns3:t>
              </ns3:r>
              <ns3:r>
                <ns3:rPr>
                  <ns3:sty ns3:val="p"/>
                </ns3:rPr>
                <ns3:t>+</ns3:t>
              </ns3:r>
              <ns3:sSub>
                <ns3:e>
                  <ns3:r>
                    <ns3:t>b</ns3:t>
                  </ns3:r>
                </ns3:e>
                <ns3:sub>
                  <ns3:r>
                    <ns3:t>6</ns3:t>
                  </ns3:r>
                </ns3:sub>
              </ns3:sSub>
              <ns3:r>
                <ns3:rPr>
                  <ns3:nor/>
                  <ns3:sty ns3:val="p"/>
                </ns3:rPr>
                <ns3:t>TypeTokenRatio</ns3:t>
              </ns3:r>
              <ns3:r>
                <ns3:rPr>
                  <ns3:sty ns3:val="p"/>
                </ns3:rPr>
                <ns3:t>+</ns3:t>
              </ns3:r>
              <ns3:r>
                <ns3:t>ε</ns3:t>
              </ns3:r>
              <ns3:r>
                <ns3:rPr>
                  <ns3:sty ns3:val="p"/>
                </ns3:rPr>
                <ns3:t>,</ns3:t>
              </ns3:r>
            </ns3:e>
            <ns3:e>
              <ns3:sSubSup>
                <ns3:e>
                  <ns3:r>
                    <ns3:t>μ</ns3:t>
                  </ns3:r>
                </ns3:e>
                <ns3:sub>
                  <ns3:r>
                    <ns3:rPr>
                      <ns3:nor/>
                      <ns3:sty ns3:val="p"/>
                    </ns3:rPr>
                    <ns3:t>sem</ns3:t>
                  </ns3:r>
                </ns3:sub>
                <ns3:sup>
                  <ns3:r>
                    <ns3:rPr>
                      <ns3:nor/>
                      <ns3:sty ns3:val="p"/>
                    </ns3:rPr>
                    <ns3:t>adj</ns3:t>
                  </ns3:r>
                </ns3:sup>
              </ns3:sSubSup>
              <ns3:r>
                <ns3:rPr>
                  <ns3:sty ns3:val="p"/>
                </ns3:rPr>
                <ns3:t>=</ns3:t>
              </ns3:r>
              <ns3:r>
                <ns3:t>​</ns3:t>
              </ns3:r>
              <ns3:r>
                <ns3:t>&amp;</ns3:t>
              </ns3:r>
              <ns3:r>
                <ns3:rPr>
                  <ns3:sty ns3:val="p"/>
                </ns3:rPr>
                <ns3:t>Residual</ns3:t>
              </ns3:r>
              <ns3:r>
                <ns3:t>​</ns3:t>
              </ns3:r>
              <ns3:d>
                <ns3:dPr>
                  <ns3:begChr ns3:val="("/>
                  <ns3:sepChr ns3:val=""/>
                  <ns3:endChr ns3:val=")"/>
                  <ns3:grow/>
                </ns3:dPr>
                <ns3:e>
                  <ns3:r>
                    <ns3:rPr>
                      <ns3:sty ns3:val="p"/>
                    </ns3:rPr>
                    <ns3:t>log</ns3:t>
                  </ns3:r>
                  <ns3:sSub>
                    <ns3:e>
                      <ns3:r>
                        <ns3:t>μ</ns3:t>
                      </ns3:r>
                    </ns3:e>
                    <ns3:sub>
                      <ns3:r>
                        <ns3:rPr>
                          <ns3:nor/>
                          <ns3:sty ns3:val="p"/>
                        </ns3:rPr>
                        <ns3:t>sem</ns3:t>
                      </ns3:r>
                    </ns3:sub>
                  </ns3:sSub>
                </ns3:e>
              </ns3:d>
            </ns3:e>
          </ns3:eqArr>
          <ns3:r>
            <ns3:t>  </ns3:t>
          </ns3:r>
          <ns3:r>
            <ns3:rPr>
              <ns3:nor/>
              <ns3:sty ns3:val="p"/>
            </ns3:rPr>
            <ns3:t>(10a)</ns3:t>
          </ns3:r>
        </ns3:oMath>
      </ns3:oMathPara>
    </w:p>
    <w:p>
      <w:pPr>
        <w:pStyle w:val="FirstParagraph"/>
      </w:pPr>
      <w:r>
        <w:t xml:space="preserve">This controls for major non-theoretical variance sources: education level, interview context, prompt wording, interviewer style, global affective-word prevalence, and lexical diversity. Recommended reliability checks are split-half agreement, inter-rater agreement for modal tagging (if manual annotation is used), and longitudinal ICC in repeated sessions. To reduce floor/ceiling instability, analyses should exclude samples with fewer than 10 total modal tokens.</w:t>
      </w:r>
    </w:p>
    <w:p>
      <w:pPr>
        <w:pStyle w:val="BodyText"/>
      </w:pPr>
      <w:r>
        <w:rPr>
          <w:b/>
          <w:bCs/>
        </w:rPr>
        <w:t xml:space="preserve">Cross-language mapping protocol (Mandarin example).</w:t>
      </w:r>
      <w:r>
        <w:t xml:space="preserve"> </w:t>
      </w:r>
      <w:r>
        <w:t xml:space="preserve">Cross-linguistic adaptation should preserve</w:t>
      </w:r>
      <w:r>
        <w:t xml:space="preserve"> </w:t>
      </w:r>
      <w:r>
        <w:rPr>
          <w:i/>
          <w:iCs/>
        </w:rPr>
        <w:t xml:space="preserve">semantic role classes</w:t>
      </w:r>
      <w:r>
        <w:t xml:space="preserve"> </w:t>
      </w:r>
      <w:r>
        <w:t xml:space="preserve">(constraint vs possibility), not literal word matching. For Mandarin Chinese, an initial inventory can be instantiated as:</w:t>
      </w:r>
    </w:p>
    <w:p>
      <w:pPr>
        <w:pStyle w:val="Compact"/>
        <w:numPr>
          <w:ilvl w:val="0"/>
          <w:numId w:val="1002"/>
        </w:numPr>
      </w:pPr>
      <w:r>
        <w:t xml:space="preserve">Constraint-oriented modals (Mandarin pinyin): bixu, dei, yao, yinggai, buneng, bude</w:t>
      </w:r>
    </w:p>
    <w:p>
      <w:pPr>
        <w:pStyle w:val="Compact"/>
        <w:numPr>
          <w:ilvl w:val="0"/>
          <w:numId w:val="1002"/>
        </w:numPr>
      </w:pPr>
      <w:r>
        <w:t xml:space="preserve">Possibility-oriented modals (Mandarin pinyin): keyi, neng, keneng, huoxu, xiang, yuanyi</w:t>
      </w:r>
    </w:p>
    <w:p>
      <w:pPr>
        <w:pStyle w:val="FirstParagraph"/>
      </w:pPr>
      <w:r>
        <w:t xml:space="preserve">Each language version should report (1) dictionary construction rules, (2) tokenization/segmentation pipeline, (3) ambiguity resolution rules (e.g., deontic vs epistemic usage), and (4) measurement-invariance checks before pooling cross-language samples. The minimum pre-registered sequence is configural then metric invariance (scalar optional); if metric invariance fails, confirmatory analyses remain language-specific and pooled estimates are treated as exploratory only.</w:t>
      </w:r>
    </w:p>
    <w:p>
      <w:pPr>
        <w:pStyle w:val="BodyText"/>
      </w:pPr>
      <w:r>
        <w:rPr>
          <w:b/>
          <w:bCs/>
        </w:rPr>
        <w:t xml:space="preserve">Methodological advantages.</w:t>
      </w:r>
      <w:r>
        <w:t xml:space="preserve"> </w:t>
      </w:r>
      <ns3:oMath>
        <ns3:sSub>
          <ns3:e>
            <ns3:r>
              <ns3:t>μ</ns3:t>
            </ns3:r>
          </ns3:e>
          <ns3:sub>
            <ns3:r>
              <ns3:rPr>
                <ns3:nor/>
                <ns3:sty ns3:val="p"/>
              </ns3:rPr>
              <ns3:t>sem</ns3:t>
            </ns3:r>
          </ns3:sub>
        </ns3:sSub>
      </ns3:oMath>
      <w:r>
        <w:t xml:space="preserve"> </w:t>
      </w:r>
      <w:r>
        <w:t xml:space="preserve">is non-invasive, low-cost, and scalable to large corpora, including interview archives and longitudinal recordings. It is therefore suitable as a phase-1 marker in the core validation chain.</w:t>
      </w:r>
    </w:p>
    <w:bookmarkEnd w:id="25"/>
    <w:bookmarkStart w:id="26" w:name="convergent-validity-architecture"/>
    <w:p>
      <w:pPr>
        <w:pStyle w:val="Heading3"/>
      </w:pPr>
      <w:r>
        <w:t xml:space="preserve">3.5 Convergent Validity Architecture</w:t>
      </w:r>
    </w:p>
    <w:p>
      <w:pPr>
        <w:pStyle w:val="FirstParagraph"/>
      </w:pPr>
      <w:r>
        <w:t xml:space="preserve">The central operationalization claim is that the four proxy classes converge on a single latent variable —</w:t>
      </w:r>
      <w:r>
        <w:t xml:space="preserve"> </w:t>
      </w:r>
      <ns3:oMath>
        <ns3:sSub>
          <ns3:e>
            <ns3:r>
              <ns3:rPr>
                <ns3:sty ns3:val="p"/>
              </ns3:rPr>
              <ns3:t>Ψ</ns3:t>
            </ns3:r>
          </ns3:e>
          <ns3:sub>
            <ns3:r>
              <ns3:t>f</ns3:t>
            </ns3:r>
          </ns3:sub>
        </ns3:sSub>
      </ns3:oMath>
      <w:r>
        <w:t xml:space="preserve"> </w:t>
      </w:r>
      <w:r>
        <w:t xml:space="preserve">— rather than measuring four independent constructs. This claim is testable through structural equation modeling (SEM).</w:t>
      </w:r>
    </w:p>
    <w:p>
      <w:pPr>
        <w:pStyle w:val="BodyText"/>
      </w:pPr>
      <w:r>
        <w:rPr>
          <w:b/>
          <w:bCs/>
        </w:rPr>
        <w:t xml:space="preserve">Proposed model.</w:t>
      </w:r>
      <w:r>
        <w:t xml:space="preserve"> </w:t>
      </w:r>
      <w:r>
        <w:t xml:space="preserve">The behavioral indicators draw on tasks that Miyake et al. (2000) showed load onto partially separable executive factors (shifting, inhibition, updating). We do not assume these sub-processes are identical; rather, we test whether a</w:t>
      </w:r>
      <w:r>
        <w:t xml:space="preserve"> </w:t>
      </w:r>
      <w:r>
        <w:rPr>
          <w:i/>
          <w:iCs/>
        </w:rPr>
        <w:t xml:space="preserve">second-order</w:t>
      </w:r>
      <w:r>
        <w:t xml:space="preserve"> </w:t>
      </w:r>
      <ns3:oMath>
        <ns3:sSub>
          <ns3:e>
            <ns3:r>
              <ns3:rPr>
                <ns3:sty ns3:val="p"/>
              </ns3:rPr>
              <ns3:t>Ψ</ns3:t>
            </ns3:r>
          </ns3:e>
          <ns3:sub>
            <ns3:r>
              <ns3:t>f</ns3:t>
            </ns3:r>
          </ns3:sub>
        </ns3:sSub>
      </ns3:oMath>
      <w:r>
        <w:t xml:space="preserve"> </w:t>
      </w:r>
      <w:r>
        <w:t xml:space="preserve">factor accounts for shared variance across shifting (task-switch cost), inhibition (Stroop interference), and flexibility (WCST perseverative errors), with temporal discounting as an additional indicator from the effort-based decision literature. The confirmatory modeling sequence is therefore:</w:t>
      </w:r>
    </w:p>
    <w:p>
      <w:pPr>
        <w:pStyle w:val="Compact"/>
        <w:numPr>
          <w:ilvl w:val="0"/>
          <w:numId w:val="1003"/>
        </w:numPr>
      </w:pPr>
      <w:r>
        <w:rPr>
          <w:b/>
          <w:bCs/>
        </w:rPr>
        <w:t xml:space="preserve">Within-behavioral CFA</w:t>
      </w:r>
      <w:r>
        <w:t xml:space="preserve">: fit a correlated three-factor Miyake-style model (shifting, inhibition, flexibility) and test whether a second-order general factor provides acceptable fit (</w:t>
      </w:r>
      <ns3:oMath>
        <ns3:r>
          <ns3:rPr>
            <ns3:nor/>
            <ns3:sty ns3:val="p"/>
          </ns3:rPr>
          <ns3:t>CFI</ns3:t>
        </ns3:r>
        <ns3:r>
          <ns3:rPr>
            <ns3:sty ns3:val="p"/>
          </ns3:rPr>
          <ns3:t>&gt;</ns3:t>
        </ns3:r>
        <ns3:r>
          <ns3:t>0.90</ns3:t>
        </ns3:r>
      </ns3:oMath>
      <w:r>
        <w:t xml:space="preserve">,</w:t>
      </w:r>
      <w:r>
        <w:t xml:space="preserve"> </w:t>
      </w:r>
      <ns3:oMath>
        <ns3:r>
          <ns3:rPr>
            <ns3:nor/>
            <ns3:sty ns3:val="p"/>
          </ns3:rPr>
          <ns3:t>RMSEA</ns3:t>
        </ns3:r>
        <ns3:r>
          <ns3:rPr>
            <ns3:sty ns3:val="p"/>
          </ns3:rPr>
          <ns3:t>&lt;</ns3:t>
        </ns3:r>
        <ns3:r>
          <ns3:t>0.08</ns3:t>
        </ns3:r>
      </ns3:oMath>
      <w:r>
        <w:t xml:space="preserve">).</w:t>
      </w:r>
    </w:p>
    <w:p>
      <w:pPr>
        <w:pStyle w:val="Compact"/>
        <w:numPr>
          <w:ilvl w:val="0"/>
          <w:numId w:val="1003"/>
        </w:numPr>
      </w:pPr>
      <w:r>
        <w:rPr>
          <w:b/>
          <w:bCs/>
        </w:rPr>
        <w:t xml:space="preserve">Cross-modal single-factor CFA</w:t>
      </w:r>
      <w:r>
        <w:t xml:space="preserve"> </w:t>
      </w:r>
      <w:r>
        <w:t xml:space="preserve">with four indicator classes:</w:t>
      </w:r>
    </w:p>
    <w:p>
      <w:pPr>
        <w:pStyle w:val="Compact"/>
        <w:numPr>
          <w:ilvl w:val="1"/>
          <w:numId w:val="1004"/>
        </w:numPr>
      </w:pPr>
      <w:r>
        <w:t xml:space="preserve">Behavioral second-order factor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(expected loading:</w:t>
      </w:r>
      <w:r>
        <w:t xml:space="preserve"> </w:t>
      </w:r>
      <ns3:oMath>
        <ns3:r>
          <ns3:t>λ</ns3:t>
        </ns3:r>
        <ns3:r>
          <ns3:rPr>
            <ns3:sty ns3:val="p"/>
          </ns3:rPr>
          <ns3:t>&gt;</ns3:t>
        </ns3:r>
        <ns3:r>
          <ns3:t>0.5</ns3:t>
        </ns3:r>
      </ns3:oMath>
      <w:r>
        <w:t xml:space="preserve">)</w:t>
      </w:r>
    </w:p>
    <w:p>
      <w:pPr>
        <w:pStyle w:val="Compact"/>
        <w:numPr>
          <w:ilvl w:val="1"/>
          <w:numId w:val="1004"/>
        </w:numPr>
      </w:pPr>
      <w:r>
        <w:t xml:space="preserve">Physiological composite (HRV recovery slope, inverse-coded)</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Neural composite (PCI, inverse-coded; Fisher condition number)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Linguistic index (</w:t>
      </w:r>
      <ns3:oMath>
        <ns3:sSub>
          <ns3:e>
            <ns3:r>
              <ns3:t>μ</ns3:t>
            </ns3:r>
          </ns3:e>
          <ns3:sub>
            <ns3:r>
              <ns3:rPr>
                <ns3:nor/>
                <ns3:sty ns3:val="p"/>
              </ns3:rPr>
              <ns3:t>sem</ns3:t>
            </ns3:r>
          </ns3:sub>
        </ns3:sSub>
      </ns3:oMath>
      <w:r>
        <w:t xml:space="preserve">)</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0.3</ns3:t>
        </ns3:r>
      </ns3:oMath>
      <w:r>
        <w:t xml:space="preserve">)</w:t>
      </w:r>
    </w:p>
    <w:p>
      <w:pPr>
        <w:pStyle w:val="FirstParagraph"/>
      </w:pPr>
      <w:r>
        <w:t xml:space="preserve">For staged validation, we use a nested modeling strategy.</w:t>
      </w:r>
      <w:r>
        <w:t xml:space="preserve"> </w:t>
      </w:r>
      <w:r>
        <w:rPr>
          <w:b/>
          <w:bCs/>
        </w:rPr>
        <w:t xml:space="preserve">Core model (phase 1/2):</w:t>
      </w:r>
      <w:r>
        <w:t xml:space="preserve"> </w:t>
      </w:r>
      <w:r>
        <w:t xml:space="preserve">behavioral second-order factor + linguistic + low-cost physiology.</w:t>
      </w:r>
      <w:r>
        <w:t xml:space="preserve"> </w:t>
      </w:r>
      <w:r>
        <w:rPr>
          <w:b/>
          <w:bCs/>
        </w:rPr>
        <w:t xml:space="preserve">Expansion model (phase 3):</w:t>
      </w:r>
      <w:r>
        <w:t xml:space="preserve"> </w:t>
      </w:r>
      <w:r>
        <w:t xml:space="preserve">add neural and ROS blocks and test whether they improve fit and prediction beyond the core model.</w:t>
      </w:r>
    </w:p>
    <w:p>
      <w:pPr>
        <w:pStyle w:val="BodyText"/>
      </w:pPr>
      <w:r>
        <w:rPr>
          <w:b/>
          <w:bCs/>
        </w:rPr>
        <w:t xml:space="preserve">Expected correlation structure.</w:t>
      </w:r>
      <w:r>
        <w:t xml:space="preserve"> </w:t>
      </w:r>
      <w:r>
        <w:t xml:space="preserve">Within-domain correlations should be moderate to strong (</w:t>
      </w:r>
      <ns3:oMath>
        <ns3:r>
          <ns3:t>r</ns3:t>
        </ns3:r>
        <ns3:r>
          <ns3:rPr>
            <ns3:sty ns3:val="p"/>
          </ns3:rPr>
          <ns3:t>=</ns3:t>
        </ns3:r>
        <ns3:r>
          <ns3:t>0.4</ns3:t>
        </ns3:r>
      </ns3:oMath>
      <w:r>
        <w:t xml:space="preserve">–</w:t>
      </w:r>
      <ns3:oMath>
        <ns3:r>
          <ns3:t>0.7</ns3:t>
        </ns3:r>
      </ns3:oMath>
      <w:r>
        <w:t xml:space="preserve">); between-domain correlations should be weak to moderate (</w:t>
      </w:r>
      <ns3:oMath>
        <ns3:r>
          <ns3:t>r</ns3:t>
        </ns3:r>
        <ns3:r>
          <ns3:rPr>
            <ns3:sty ns3:val="p"/>
          </ns3:rPr>
          <ns3:t>=</ns3:t>
        </ns3:r>
        <ns3:r>
          <ns3:t>0.20</ns3:t>
        </ns3:r>
      </ns3:oMath>
      <w:r>
        <w:t xml:space="preserve">–</w:t>
      </w:r>
      <ns3:oMath>
        <ns3:r>
          <ns3:t>0.45</ns3:t>
        </ns3:r>
      </ns3:oMath>
      <w:r>
        <w:t xml:space="preserve">). We set these expectations conservatively relative to typical cross-modal correlations in the clinical psychophysiology literature. If between-domain correlations fall below</w:t>
      </w:r>
      <w:r>
        <w:t xml:space="preserve"> </w:t>
      </w:r>
      <ns3:oMath>
        <ns3:r>
          <ns3:t>r</ns3:t>
        </ns3:r>
        <ns3:r>
          <ns3:rPr>
            <ns3:sty ns3:val="p"/>
          </ns3:rPr>
          <ns3:t>=</ns3:t>
        </ns3:r>
        <ns3:r>
          <ns3:t>0.15</ns3:t>
        </ns3:r>
      </ns3:oMath>
      <w:r>
        <w:t xml:space="preserve"> </w:t>
      </w:r>
      <w:r>
        <w:t xml:space="preserve">uniformly, the unitary latent variable interpretation is rejected in favor of independent constructs.</w:t>
      </w:r>
    </w:p>
    <w:p>
      <w:pPr>
        <w:pStyle w:val="BodyText"/>
      </w:pPr>
      <w:r>
        <w:rPr>
          <w:b/>
          <w:bCs/>
        </w:rPr>
        <w:t xml:space="preserve">Minimum survivable model if single-factor fails.</w:t>
      </w:r>
      <w:r>
        <w:t xml:space="preserve"> </w:t>
      </w:r>
      <w:r>
        <w:t xml:space="preserve">The fallback is pre-registered rather than post hoc: (a) a two-factor model separating control-performance (behavioral + physiology) from semantic-constraint (linguistic, plus optional neural/expansion indicators), and (b) a bifactor model with one general factor plus modality-specific factors. The framework is retained only if the general factor shows stable loadings and predicts critical-load outcomes beyond modality factors; otherwise, the theory is downgraded to a family of modality-indexed frictions (</w:t>
      </w:r>
      <ns3:oMath>
        <ns3:sSubSup>
          <ns3:e>
            <ns3:r>
              <ns3:rPr>
                <ns3:sty ns3:val="p"/>
              </ns3:rPr>
              <ns3:t>Ψ</ns3:t>
            </ns3:r>
          </ns3:e>
          <ns3:sub>
            <ns3:r>
              <ns3:t>f</ns3:t>
            </ns3:r>
          </ns3:sub>
          <ns3:sup>
            <ns3:r>
              <ns3:rPr>
                <ns3:sty ns3:val="p"/>
              </ns3:rPr>
              <ns3:t>(</ns3:t>
            </ns3:r>
            <ns3:r>
              <ns3:t>m</ns3:t>
            </ns3:r>
            <ns3:r>
              <ns3:rPr>
                <ns3:sty ns3:val="p"/>
              </ns3:rPr>
              <ns3:t>)</ns3:t>
            </ns3:r>
          </ns3:sup>
        </ns3:sSubSup>
      </ns3:oMath>
      <w:r>
        <w:t xml:space="preserve">) rather than one unitary latent variable.</w:t>
      </w:r>
    </w:p>
    <w:p>
      <w:pPr>
        <w:pStyle w:val="BodyText"/>
      </w:pPr>
      <w:r>
        <w:rPr>
          <w:b/>
          <w:bCs/>
        </w:rPr>
        <w:t xml:space="preserve">Discriminant validity.</w:t>
      </w:r>
      <w:r>
        <w:t xml:space="preserve"> </w:t>
      </w:r>
      <ns3:oMath>
        <ns3:sSub>
          <ns3:e>
            <ns3:r>
              <ns3:rPr>
                <ns3:sty ns3:val="p"/>
              </ns3:rPr>
              <ns3:t>Ψ</ns3:t>
            </ns3:r>
          </ns3:e>
          <ns3:sub>
            <ns3:r>
              <ns3:t>f</ns3:t>
            </ns3:r>
          </ns3:sub>
        </ns3:sSub>
      </ns3:oMath>
      <w:r>
        <w:t xml:space="preserve"> </w:t>
      </w:r>
      <w:r>
        <w:t xml:space="preserve">should be empirically distinguishable from general cognitive ability (IQ), general psychopathology (</w:t>
      </w:r>
      <ns3:oMath>
        <ns3:r>
          <ns3:t>p</ns3:t>
        </ns3:r>
      </ns3:oMath>
      <w:r>
        <w:t xml:space="preserve">-factor), and trait neuroticism. We predict that</w:t>
      </w:r>
      <w:r>
        <w:t xml:space="preserve"> </w:t>
      </w:r>
      <ns3:oMath>
        <ns3:sSub>
          <ns3:e>
            <ns3:r>
              <ns3:rPr>
                <ns3:sty ns3:val="p"/>
              </ns3:rPr>
              <ns3:t>Ψ</ns3:t>
            </ns3:r>
          </ns3:e>
          <ns3:sub>
            <ns3:r>
              <ns3:t>f</ns3:t>
            </ns3:r>
          </ns3:sub>
        </ns3:sSub>
      </ns3:oMath>
      <w:r>
        <w:t xml:space="preserve"> </w:t>
      </w:r>
      <w:r>
        <w:t xml:space="preserve">shows incremental validity over these constructs in predicting task-switching cost and clinical executive dysfunction.</w:t>
      </w:r>
    </w:p>
    <w:p>
      <w:pPr>
        <w:pStyle w:val="BodyText"/>
      </w:pPr>
      <w:r>
        <w:rPr>
          <w:i/>
          <w:iCs/>
        </w:rPr>
        <w:t xml:space="preserve">Insert Figure 2 near here.</w:t>
      </w:r>
    </w:p>
    <w:p>
      <w:r>
        <w:pict>
          <ns1:rect style="width:0;height:1.5pt" ns2:hralign="center" ns2:hrstd="t" ns2:hr="t"/>
        </w:pict>
      </w:r>
    </w:p>
    <w:bookmarkEnd w:id="26"/>
    <w:bookmarkEnd w:id="27"/>
    <w:bookmarkStart w:id="33" w:name="clinical-mapping-psi_f-across-disorders"/>
    <w:p>
      <w:pPr>
        <w:pStyle w:val="Heading2"/>
      </w:pPr>
      <w:r>
        <w:t xml:space="preserve">4. Clinical Mapping:</w:t>
      </w:r>
      <w:r>
        <w:t xml:space="preserve"> </w:t>
      </w:r>
      <ns3:oMath>
        <ns3:sSub>
          <ns3:e>
            <ns3:r>
              <ns3:rPr>
                <ns3:sty ns3:val="p"/>
              </ns3:rPr>
              <ns3:t>Ψ</ns3:t>
            </ns3:r>
          </ns3:e>
          <ns3:sub>
            <ns3:r>
              <ns3:t>f</ns3:t>
            </ns3:r>
          </ns3:sub>
        </ns3:sSub>
      </ns3:oMath>
      <w:r>
        <w:t xml:space="preserve"> </w:t>
      </w:r>
      <w:r>
        <w:t xml:space="preserve">Across Disorders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generates disorder-specific predictions that go beyond the generic claim that</w:t>
      </w:r>
      <w:r>
        <w:t xml:space="preserve"> </w:t>
      </w:r>
      <w:r>
        <w:t xml:space="preserve">“executive function is impaired.”</w:t>
      </w:r>
      <w:r>
        <w:t xml:space="preserve"> </w:t>
      </w:r>
      <w:r>
        <w:t xml:space="preserve">Each clinical condition is modeled as a distinct perturbation of the</w:t>
      </w:r>
      <w:r>
        <w:t xml:space="preserve"> </w:t>
      </w:r>
      <ns3:oMath>
        <ns3:sSub>
          <ns3:e>
            <ns3:r>
              <ns3:rPr>
                <ns3:sty ns3:val="p"/>
              </ns3:rPr>
              <ns3:t>Ψ</ns3:t>
            </ns3:r>
          </ns3:e>
          <ns3:sub>
            <ns3:r>
              <ns3:t>f</ns3:t>
            </ns3:r>
          </ns3:sub>
        </ns3:sSub>
      </ns3:oMath>
      <w:r>
        <w:t xml:space="preserve"> </w:t>
      </w:r>
      <w:r>
        <w:t xml:space="preserve">dynamics, producing a characteristic</w:t>
      </w:r>
      <w:r>
        <w:t xml:space="preserve"> </w:t>
      </w:r>
      <w:r>
        <w:rPr>
          <w:i/>
          <w:iCs/>
        </w:rPr>
        <w:t xml:space="preserve">friction signature</w:t>
      </w:r>
      <w:r>
        <w:t xml:space="preserve"> </w:t>
      </w:r>
      <w:r>
        <w:t xml:space="preserve">across the four proxy classes.</w:t>
      </w:r>
    </w:p>
    <w:bookmarkStart w:id="28" w:name="X7ed4cab3aeee4116e7c3d9588c2d29f244b74da"/>
    <w:p>
      <w:pPr>
        <w:pStyle w:val="Heading3"/>
      </w:pPr>
      <w:r>
        <w:t xml:space="preserve">4.1 Major Depressive Disorder: Sustained Friction with Oxidative Coupling</w:t>
      </w:r>
    </w:p>
    <w:p>
      <w:pPr>
        <w:pStyle w:val="FirstParagraph"/>
      </w:pPr>
      <w:r>
        <w:t xml:space="preserve">In the</w:t>
      </w:r>
      <w:r>
        <w:t xml:space="preserve"> </w:t>
      </w:r>
      <ns3:oMath>
        <ns3:sSub>
          <ns3:e>
            <ns3:r>
              <ns3:rPr>
                <ns3:sty ns3:val="p"/>
              </ns3:rPr>
              <ns3:t>Ψ</ns3:t>
            </ns3:r>
          </ns3:e>
          <ns3:sub>
            <ns3:r>
              <ns3:t>f</ns3:t>
            </ns3:r>
          </ns3:sub>
        </ns3:sSub>
      </ns3:oMath>
      <w:r>
        <w:t xml:space="preserve"> </w:t>
      </w:r>
      <w:r>
        <w:t xml:space="preserve">framework, major depressive disorder (MDD) is modeled as a state of</w:t>
      </w:r>
      <w:r>
        <w:t xml:space="preserve"> </w:t>
      </w:r>
      <w:r>
        <w:rPr>
          <w:i/>
          <w:iCs/>
        </w:rPr>
        <w:t xml:space="preserve">chronic friction elevation</w:t>
      </w:r>
      <w:r>
        <w:t xml:space="preserve"> </w:t>
      </w:r>
      <w:r>
        <w:t xml:space="preserve">in which</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remains positive over extended periods, leading to progressive exhaustion of selection power and oxidative stress accumulation.</w:t>
      </w:r>
    </w:p>
    <w:p>
      <w:pPr>
        <w:pStyle w:val="BodyText"/>
      </w:pPr>
      <w:r>
        <w:rPr>
          <w:b/>
          <w:bCs/>
        </w:rPr>
        <w:t xml:space="preserve">Mechanism.</w:t>
      </w:r>
      <w:r>
        <w:t xml:space="preserve"> </w:t>
      </w:r>
      <w:r>
        <w:t xml:space="preserve">The depressed agent’s learned model may be accurate or even hyperaccurate (</w:t>
      </w:r>
      <w:r>
        <w:t xml:space="preserve">“depressive realism”</w:t>
      </w:r>
      <w:r>
        <w:t xml:space="preserve">; Alloy and Abramson, 1979) — the agent correctly identifies what actions would be beneficial. However, the friction cost of</w:t>
      </w:r>
      <w:r>
        <w:t xml:space="preserve"> </w:t>
      </w:r>
      <w:r>
        <w:rPr>
          <w:i/>
          <w:iCs/>
        </w:rPr>
        <w:t xml:space="preserve">initiating</w:t>
      </w:r>
      <w:r>
        <w:t xml:space="preserve"> </w:t>
      </w:r>
      <w:r>
        <w:t xml:space="preserve">state transitions (</w:t>
      </w:r>
      <ns3:oMath>
        <ns3:sSubSup>
          <ns3:e>
            <ns3:r>
              <ns3:rPr>
                <ns3:sty ns3:val="p"/>
              </ns3:rPr>
              <ns3:t>Ψ</ns3:t>
            </ns3:r>
          </ns3:e>
          <ns3:sub>
            <ns3:r>
              <ns3:t>f</ns3:t>
            </ns3:r>
          </ns3:sub>
          <ns3:sup>
            <ns3:r>
              <ns3:rPr>
                <ns3:nor/>
                <ns3:sty ns3:val="p"/>
              </ns3:rPr>
              <ns3:t>action</ns3:t>
            </ns3:r>
          </ns3:sup>
        </ns3:sSubSup>
      </ns3:oMath>
      <w:r>
        <w:t xml:space="preserve">) chronically exceeds the available residual selection power (</w:t>
      </w:r>
      <ns3:oMath>
        <ns3:sSubSup>
          <ns3:e>
            <ns3:r>
              <ns3:t>P</ns3:t>
            </ns3:r>
          </ns3:e>
          <ns3:sub>
            <ns3:r>
              <ns3:rPr>
                <ns3:nor/>
                <ns3:sty ns3:val="p"/>
              </ns3:rPr>
              <ns3:t>sel</ns3:t>
            </ns3:r>
          </ns3:sub>
          <ns3:sup>
            <ns3:r>
              <ns3:rPr>
                <ns3:nor/>
                <ns3:sty ns3:val="p"/>
              </ns3:rPr>
              <ns3:t>residual</ns3:t>
            </ns3:r>
          </ns3:sup>
        </ns3:sSubSup>
      </ns3:oMath>
      <w:r>
        <w:t xml:space="preserve">). The agent enters a stable low-energy attractor in which inaction minimizes acute distress (</w:t>
      </w:r>
      <ns3:oMath>
        <ns3:r>
          <ns3:t>d</ns3:t>
        </ns3:r>
        <ns3:sSub>
          <ns3:e>
            <ns3:r>
              <ns3:rPr>
                <ns3:sty ns3:val="p"/>
              </ns3:rPr>
              <ns3:t>Ψ</ns3:t>
            </ns3:r>
          </ns3:e>
          <ns3:sub>
            <ns3:r>
              <ns3:t>f</ns3:t>
            </ns3:r>
          </ns3:sub>
        </ns3:sSub>
        <ns3:r>
          <ns3:rPr>
            <ns3:sty ns3:val="p"/>
          </ns3:rPr>
          <ns3:t>/</ns3:t>
        </ns3:r>
        <ns3:r>
          <ns3:t>d</ns3:t>
        </ns3:r>
        <ns3:r>
          <ns3:t>t</ns3:t>
        </ns3:r>
        <ns3:r>
          <ns3:rPr>
            <ns3:sty ns3:val="p"/>
          </ns3:rPr>
          <ns3:t>≈</ns3:t>
        </ns3:r>
        <ns3:r>
          <ns3:t>0</ns3:t>
        </ns3:r>
      </ns3:oMath>
      <w:r>
        <w:t xml:space="preserve">) at the cost of chronic friction accumulation.</w:t>
      </w:r>
    </w:p>
    <w:p>
      <w:pPr>
        <w:pStyle w:val="BodyText"/>
      </w:pPr>
      <w:r>
        <w:t xml:space="preserve">The ROS coupling equation (Equation 9) generates a specific pathophysiological chain: sustained</w:t>
      </w:r>
      <w:r>
        <w:t xml:space="preserve"> </w:t>
      </w:r>
      <ns3:oMath>
        <ns3:sSub>
          <ns3:e>
            <ns3:r>
              <ns3:rPr>
                <ns3:sty ns3:val="p"/>
              </ns3:rPr>
              <ns3:t>Ψ</ns3:t>
            </ns3:r>
          </ns3:e>
          <ns3:sub>
            <ns3:r>
              <ns3:t>f</ns3:t>
            </ns3:r>
          </ns3:sub>
        </ns3:sSub>
        <ns3:r>
          <ns3:rPr>
            <ns3:sty ns3:val="p"/>
          </ns3:rPr>
          <ns3:t>→</ns3:t>
        </ns3:r>
      </ns3:oMath>
      <w:r>
        <w:t xml:space="preserve"> </w:t>
      </w:r>
      <w:r>
        <w:t xml:space="preserve">elevated metabolic demand</w:t>
      </w:r>
      <w:r>
        <w:t xml:space="preserve"> </w:t>
      </w:r>
      <ns3:oMath>
        <ns3:r>
          <ns3:rPr>
            <ns3:sty ns3:val="p"/>
          </ns3:rPr>
          <ns3:t>→</ns3:t>
        </ns3:r>
      </ns3:oMath>
      <w:r>
        <w:t xml:space="preserve"> </w:t>
      </w:r>
      <w:r>
        <w:t xml:space="preserve">increased mitochondrial ROS production</w:t>
      </w:r>
      <w:r>
        <w:t xml:space="preserve"> </w:t>
      </w:r>
      <ns3:oMath>
        <ns3:r>
          <ns3:rPr>
            <ns3:sty ns3:val="p"/>
          </ns3:rPr>
          <ns3:t>→</ns3:t>
        </ns3:r>
      </ns3:oMath>
      <w:r>
        <w:t xml:space="preserve"> </w:t>
      </w:r>
      <w:r>
        <w:t xml:space="preserve">oxidative damage</w:t>
      </w:r>
      <w:r>
        <w:t xml:space="preserve"> </w:t>
      </w:r>
      <ns3:oMath>
        <ns3:r>
          <ns3:rPr>
            <ns3:sty ns3:val="p"/>
          </ns3:rPr>
          <ns3:t>→</ns3:t>
        </ns3:r>
      </ns3:oMath>
      <w:r>
        <w:t xml:space="preserve"> </w:t>
      </w:r>
      <w:r>
        <w:t xml:space="preserve">inflammatory signaling</w:t>
      </w:r>
      <w:r>
        <w:t xml:space="preserve"> </w:t>
      </w:r>
      <ns3:oMath>
        <ns3:r>
          <ns3:rPr>
            <ns3:sty ns3:val="p"/>
          </ns3:rPr>
          <ns3:t>→</ns3:t>
        </ns3:r>
      </ns3:oMath>
      <w:r>
        <w:t xml:space="preserve"> </w:t>
      </w:r>
      <w:r>
        <w:t xml:space="preserve">further reduction of</w:t>
      </w:r>
      <w:r>
        <w:t xml:space="preserve"> </w:t>
      </w:r>
      <ns3:oMath>
        <ns3:sSub>
          <ns3:e>
            <ns3:r>
              <ns3:t>P</ns3:t>
            </ns3:r>
          </ns3:e>
          <ns3:sub>
            <ns3:r>
              <ns3:rPr>
                <ns3:nor/>
                <ns3:sty ns3:val="p"/>
              </ns3:rPr>
              <ns3:t>sel</ns3:t>
            </ns3:r>
          </ns3:sub>
        </ns3:sSub>
      </ns3:oMath>
      <w:r>
        <w:t xml:space="preserve"> </w:t>
      </w:r>
      <w:r>
        <w:t xml:space="preserve">through immune-mediated neuromodulatory changes. This positive feedback loop is consistent with the inflammatory hypothesis of depression (Maes et al., 2011; Miller and Raison, 2016) and provides a mechanistic link between the cognitive and immunological dimensions of MDD. In this manuscript, however, these arrows are treated as</w:t>
      </w:r>
      <w:r>
        <w:t xml:space="preserve"> </w:t>
      </w:r>
      <w:r>
        <w:rPr>
          <w:b/>
          <w:bCs/>
        </w:rPr>
        <w:t xml:space="preserve">directional hypotheses subject to prospective testing rather than established causal pathways</w:t>
      </w:r>
      <w:r>
        <w:t xml:space="preserve">; cross-sectional data can establish compatibility but not causal direction.</w:t>
      </w:r>
    </w:p>
    <w:p>
      <w:pPr>
        <w:pStyle w:val="BodyText"/>
      </w:pPr>
      <w:r>
        <w:rPr>
          <w:b/>
          <w:bCs/>
        </w:rPr>
        <w:t xml:space="preserve">Predicted friction signature.</w:t>
      </w:r>
      <w:r>
        <w:t xml:space="preserve"> </w:t>
      </w:r>
      <w:r>
        <w:t xml:space="preserve">Core chain prediction for depression is: (a) elevated behavioral</w:t>
      </w:r>
      <w:r>
        <w:t xml:space="preserve"> </w:t>
      </w:r>
      <ns3:oMath>
        <ns3:sSub>
          <ns3:e>
            <ns3:r>
              <ns3:rPr>
                <ns3:sty ns3:val="p"/>
              </ns3:rPr>
              <ns3:t>Ψ</ns3:t>
            </ns3:r>
          </ns3:e>
          <ns3:sub>
            <ns3:r>
              <ns3:t>f</ns3:t>
            </ns3:r>
          </ns3:sub>
        </ns3:sSub>
      </ns3:oMath>
      <w:r>
        <w:t xml:space="preserve"> </w:t>
      </w:r>
      <w:r>
        <w:t xml:space="preserve">composite, particularly temporal discounting and task-switching cost; (b) reduced HRV recovery slope and altered SCR/cortisol profile; and (c) elevated</w:t>
      </w:r>
      <w:r>
        <w:t xml:space="preserve"> </w:t>
      </w:r>
      <ns3:oMath>
        <ns3:sSub>
          <ns3:e>
            <ns3:r>
              <ns3:t>μ</ns3:t>
            </ns3:r>
          </ns3:e>
          <ns3:sub>
            <ns3:r>
              <ns3:rPr>
                <ns3:nor/>
                <ns3:sty ns3:val="p"/>
              </ns3:rPr>
              <ns3:t>sem</ns3:t>
            </ns3:r>
          </ns3:sub>
        </ns3:sSub>
      </ns3:oMath>
      <w:r>
        <w:t xml:space="preserve"> </w:t>
      </w:r>
      <w:r>
        <w:t xml:space="preserve">with predominance of obligation/constraint modals. Expansion prediction is reduced PCI/degraded theta-gamma coupling plus elevated ROS biomarkers (reduced GSH/GSSG ratio, elevated MDA).</w:t>
      </w:r>
    </w:p>
    <w:p>
      <w:pPr>
        <w:pStyle w:val="BodyText"/>
      </w:pPr>
      <w:r>
        <w:rPr>
          <w:i/>
          <w:iCs/>
        </w:rPr>
        <w:t xml:space="preserve">Insert Figure 3 near here.</w:t>
      </w:r>
    </w:p>
    <w:bookmarkEnd w:id="28"/>
    <w:bookmarkStart w:id="29" w:name="X4b0c56ba7dab9dd968682fbe4d78b8c23cc4185"/>
    <w:p>
      <w:pPr>
        <w:pStyle w:val="Heading3"/>
      </w:pPr>
      <w:r>
        <w:t xml:space="preserve">4.2 Obsessive-Compulsive Disorder: Switching Viscosity</w:t>
      </w:r>
    </w:p>
    <w:p>
      <w:pPr>
        <w:pStyle w:val="FirstParagraph"/>
      </w:pPr>
      <w:r>
        <w:t xml:space="preserve">OCD is modeled as a pathological elevation of</w:t>
      </w:r>
      <w:r>
        <w:t xml:space="preserve"> </w:t>
      </w:r>
      <w:r>
        <w:rPr>
          <w:i/>
          <w:iCs/>
        </w:rPr>
        <w:t xml:space="preserve">switching viscosity</w:t>
      </w:r>
      <w:r>
        <w:t xml:space="preserve"> </w:t>
      </w:r>
      <ns3:oMath>
        <ns3:r>
          <ns3:t>η</ns3:t>
        </ns3:r>
      </ns3:oMath>
      <w:r>
        <w:t xml:space="preserve"> </w:t>
      </w:r>
      <w:r>
        <w:t xml:space="preserve">— the resistance of the parameter space to state transitions. The compulsive behavior occupies a local minimum in the friction landscape with extremely steep walls, making it energetically prohibitive to transition to alternative states.</w:t>
      </w:r>
    </w:p>
    <w:p>
      <w:pPr>
        <w:pStyle w:val="BodyText"/>
      </w:pPr>
      <w:r>
        <w:rPr>
          <w:b/>
          <w:bCs/>
        </w:rPr>
        <w:t xml:space="preserve">Mechanism.</w:t>
      </w:r>
      <w:r>
        <w:t xml:space="preserve"> </w:t>
      </w:r>
      <w:r>
        <w:t xml:space="preserve">We model OCD switching viscosity using a network-modulated gradient flow:</w:t>
      </w:r>
    </w:p>
    <w:p>
      <w:pPr>
        <w:pStyle w:val="BodyText"/>
      </w:pPr>
      <ns3:oMathPara>
        <ns3:oMathParaPr>
          <ns3:jc ns3:val="center"/>
        </ns3:oMathParaPr>
        <ns3:oMath>
          <ns3:f>
            <ns3:fPr>
              <ns3:type ns3:val="bar"/>
            </ns3:fPr>
            <ns3:num>
              <ns3:r>
                <ns3:t>d</ns3:t>
              </ns3:r>
              <ns3:sSub>
                <ns3:e>
                  <ns3:r>
                    <ns3:t>θ</ns3:t>
                  </ns3:r>
                </ns3:e>
                <ns3:sub>
                  <ns3:r>
                    <ns3:t>i</ns3:t>
                  </ns3:r>
                </ns3:sub>
              </ns3:sSub>
            </ns3:num>
            <ns3:den>
              <ns3:r>
                <ns3:t>d</ns3:t>
              </ns3:r>
              <ns3:r>
                <ns3:t>t</ns3:t>
              </ns3:r>
            </ns3:den>
          </ns3:f>
          <ns3:r>
            <ns3:rPr>
              <ns3:sty ns3:val="p"/>
            </ns3:rPr>
            <ns3:t>=</ns3:t>
          </ns3:r>
          <ns3:r>
            <ns3:rPr>
              <ns3:sty ns3:val="p"/>
            </ns3:rPr>
            <ns3:t>−</ns3:t>
          </ns3:r>
          <ns3:f>
            <ns3:fPr>
              <ns3:type ns3:val="bar"/>
            </ns3:fPr>
            <ns3:num>
              <ns3:sSub>
                <ns3:e>
                  <ns3:r>
                    <ns3:rPr>
                      <ns3:sty ns3:val="p"/>
                    </ns3:rPr>
                    <ns3:t>∇</ns3:t>
                  </ns3:r>
                </ns3:e>
                <ns3:sub>
                  <ns3:r>
                    <ns3:t>i</ns3:t>
                  </ns3:r>
                </ns3:sub>
              </ns3:sSub>
              <ns3:r>
                <ns3:rPr>
                  <ns3:sty ns3:val="p"/>
                </ns3:rPr>
                <ns3:t>Φ</ns3:t>
              </ns3:r>
              <ns3:r>
                <ns3:rPr>
                  <ns3:sty ns3:val="p"/>
                </ns3:rPr>
                <ns3:t>(</ns3:t>
              </ns3:r>
              <ns3:r>
                <ns3:t>θ</ns3:t>
              </ns3:r>
              <ns3:r>
                <ns3:rPr>
                  <ns3:sty ns3:val="p"/>
                </ns3:rPr>
                <ns3:t>)</ns3:t>
              </ns3:r>
            </ns3:num>
            <ns3:den>
              <ns3:r>
                <ns3:t>1</ns3:t>
              </ns3:r>
              <ns3:r>
                <ns3:rPr>
                  <ns3:sty ns3:val="p"/>
                </ns3:rPr>
                <ns3:t>+</ns3:t>
              </ns3:r>
              <ns3:r>
                <ns3:t>λ</ns3:t>
              </ns3:r>
              <ns3:sSub>
                <ns3:e>
                  <ns3:r>
                    <ns3:t>d</ns3:t>
                  </ns3:r>
                </ns3:e>
                <ns3:sub>
                  <ns3:r>
                    <ns3:t>i</ns3:t>
                  </ns3:r>
                </ns3:sub>
              </ns3:sSub>
            </ns3:den>
          </ns3:f>
          <ns3:r>
            <ns3:rPr>
              <ns3:sty ns3:val="p"/>
            </ns3:rPr>
            <ns3:t>+</ns3:t>
          </ns3:r>
          <ns3:sSub>
            <ns3:e>
              <ns3:r>
                <ns3:t>ϵ</ns3:t>
              </ns3:r>
            </ns3:e>
            <ns3:sub>
              <ns3:r>
                <ns3:t>i</ns3:t>
              </ns3:r>
            </ns3:sub>
          </ns3:sSub>
          <ns3:r>
            <ns3:rPr>
              <ns3:sty ns3:val="p"/>
            </ns3:rPr>
            <ns3:t>(</ns3:t>
          </ns3:r>
          <ns3:r>
            <ns3:t>t</ns3:t>
          </ns3:r>
          <ns3:r>
            <ns3:rPr>
              <ns3:sty ns3:val="p"/>
            </ns3:rPr>
            <ns3:t>)</ns3:t>
          </ns3:r>
          <ns3:r>
            <ns3:rPr>
              <ns3:sty ns3:val="p"/>
            </ns3:rPr>
            <ns3:t>,</ns3:t>
          </ns3:r>
          <ns3:r>
            <ns3:t> </ns3:t>
          </ns3:r>
          <ns3:r>
            <ns3:t>λ</ns3:t>
          </ns3:r>
          <ns3:r>
            <ns3:rPr>
              <ns3:sty ns3:val="p"/>
            </ns3:rPr>
            <ns3:t>&gt;</ns3:t>
          </ns3:r>
          <ns3:r>
            <ns3:t>0</ns3:t>
          </ns3:r>
        </ns3:oMath>
      </ns3:oMathPara>
    </w:p>
    <w:p>
      <w:pPr>
        <w:pStyle w:val="FirstParagraph"/>
      </w:pPr>
      <w:r>
        <w:t xml:space="preserve">where</w:t>
      </w:r>
      <w:r>
        <w:t xml:space="preserve"> </w:t>
      </w:r>
      <ns3:oMath>
        <ns3:r>
          <ns3:rPr>
            <ns3:sty ns3:val="p"/>
          </ns3:rPr>
          <ns3:t>Φ</ns3:t>
        </ns3:r>
        <ns3:r>
          <ns3:rPr>
            <ns3:sty ns3:val="p"/>
          </ns3:rPr>
          <ns3:t>(</ns3:t>
        </ns3:r>
        <ns3:r>
          <ns3:t>θ</ns3:t>
        </ns3:r>
        <ns3:r>
          <ns3:rPr>
            <ns3:sty ns3:val="p"/>
          </ns3:rPr>
          <ns3:t>)</ns3:t>
        </ns3:r>
      </ns3:oMath>
      <w:r>
        <w:t xml:space="preserve"> </w:t>
      </w:r>
      <w:r>
        <w:t xml:space="preserve">is the friction potential,</w:t>
      </w:r>
      <w:r>
        <w:t xml:space="preserve"> </w:t>
      </w:r>
      <ns3:oMath>
        <ns3:sSub>
          <ns3:e>
            <ns3:r>
              <ns3:t>d</ns3:t>
            </ns3:r>
          </ns3:e>
          <ns3:sub>
            <ns3:r>
              <ns3:t>i</ns3:t>
            </ns3:r>
          </ns3:sub>
        </ns3:sSub>
      </ns3:oMath>
      <w:r>
        <w:t xml:space="preserve"> </w:t>
      </w:r>
      <w:r>
        <w:t xml:space="preserve">is the network degree (or weighted centrality) of node</w:t>
      </w:r>
      <w:r>
        <w:t xml:space="preserve"> </w:t>
      </w:r>
      <ns3:oMath>
        <ns3:r>
          <ns3:t>i</ns3:t>
        </ns3:r>
      </ns3:oMath>
      <w:r>
        <w:t xml:space="preserve">, and</w:t>
      </w:r>
      <w:r>
        <w:t xml:space="preserve"> </w:t>
      </w:r>
      <ns3:oMath>
        <ns3:sSub>
          <ns3:e>
            <ns3:r>
              <ns3:t>ϵ</ns3:t>
            </ns3:r>
          </ns3:e>
          <ns3:sub>
            <ns3:r>
              <ns3:t>i</ns3:t>
            </ns3:r>
          </ns3:sub>
        </ns3:sSub>
        <ns3:r>
          <ns3:rPr>
            <ns3:sty ns3:val="p"/>
          </ns3:rPr>
          <ns3:t>(</ns3:t>
        </ns3:r>
        <ns3:r>
          <ns3:t>t</ns3:t>
        </ns3:r>
        <ns3:r>
          <ns3:rPr>
            <ns3:sty ns3:val="p"/>
          </ns3:rPr>
          <ns3:t>)</ns3:t>
        </ns3:r>
      </ns3:oMath>
      <w:r>
        <w:t xml:space="preserve"> </w:t>
      </w:r>
      <w:r>
        <w:t xml:space="preserve">is noise. High-centrality nodes update more slowly because effective step size is reduced by</w:t>
      </w:r>
      <w:r>
        <w:t xml:space="preserve"> </w:t>
      </w:r>
      <ns3:oMath>
        <ns3:r>
          <ns3:rPr>
            <ns3:sty ns3:val="p"/>
          </ns3:rPr>
          <ns3:t>(</ns3:t>
        </ns3:r>
        <ns3:r>
          <ns3:t>1</ns3:t>
        </ns3:r>
        <ns3:r>
          <ns3:rPr>
            <ns3:sty ns3:val="p"/>
          </ns3:rPr>
          <ns3:t>+</ns3:t>
        </ns3:r>
        <ns3:r>
          <ns3:t>λ</ns3:t>
        </ns3:r>
        <ns3:sSub>
          <ns3:e>
            <ns3:r>
              <ns3:t>d</ns3:t>
            </ns3:r>
          </ns3:e>
          <ns3:sub>
            <ns3:r>
              <ns3:t>i</ns3:t>
            </ns3:r>
          </ns3:sub>
        </ns3:sSub>
        <ns3:sSup>
          <ns3:e>
            <ns3:r>
              <ns3:rPr>
                <ns3:sty ns3:val="p"/>
              </ns3:rPr>
              <ns3:t>)</ns3:t>
            </ns3:r>
          </ns3:e>
          <ns3:sup>
            <ns3:r>
              <ns3:rPr>
                <ns3:sty ns3:val="p"/>
              </ns3:rPr>
              <ns3:t>−</ns3:t>
            </ns3:r>
            <ns3:r>
              <ns3:t>1</ns3:t>
            </ns3:r>
          </ns3:sup>
        </ns3:sSup>
      </ns3:oMath>
      <w:r>
        <w:t xml:space="preserve">. Local trapping strength is quantified by curvature:</w:t>
      </w:r>
    </w:p>
    <w:p>
      <w:pPr>
        <w:pStyle w:val="BodyText"/>
      </w:pPr>
      <ns3:oMathPara>
        <ns3:oMathParaPr>
          <ns3:jc ns3:val="center"/>
        </ns3:oMathParaPr>
        <ns3:oMath>
          <ns3:sSubSup>
            <ns3:e>
              <ns3:r>
                <ns3:rPr>
                  <ns3:sty ns3:val="p"/>
                </ns3:rPr>
                <ns3:t>Ψ</ns3:t>
              </ns3:r>
            </ns3:e>
            <ns3:sub>
              <ns3:r>
                <ns3:t>f</ns3:t>
              </ns3:r>
            </ns3:sub>
            <ns3:sup>
              <ns3:r>
                <ns3:rPr>
                  <ns3:nor/>
                  <ns3:sty ns3:val="p"/>
                </ns3:rPr>
                <ns3:t>switch</ns3:t>
              </ns3:r>
            </ns3:sup>
          </ns3:sSubSup>
          <ns3:r>
            <ns3:rPr>
              <ns3:sty ns3:val="p"/>
            </ns3:rPr>
            <ns3:t>(</ns3:t>
          </ns3:r>
          <ns3:sSub>
            <ns3:e>
              <ns3:r>
                <ns3:t>θ</ns3:t>
              </ns3:r>
            </ns3:e>
            <ns3:sub>
              <ns3:r>
                <ns3:t>i</ns3:t>
              </ns3:r>
            </ns3:sub>
          </ns3:sSub>
          <ns3:r>
            <ns3:rPr>
              <ns3:sty ns3:val="p"/>
            </ns3:rPr>
            <ns3:t>)</ns3:t>
          </ns3:r>
          <ns3:r>
            <ns3:rPr>
              <ns3:sty ns3:val="p"/>
            </ns3:rPr>
            <ns3:t>∝</ns3:t>
          </ns3:r>
          <ns3:sSub>
            <ns3:e>
              <ns3:r>
                <ns3:t>λ</ns3:t>
              </ns3:r>
            </ns3:e>
            <ns3:sub>
              <ns3:r>
                <ns3:rPr>
                  <ns3:sty ns3:val="p"/>
                </ns3:rPr>
                <ns3:t>max</ns3:t>
              </ns3:r>
            </ns3:sub>
          </ns3:sSub>
          <ns3:r>
            <ns3:t>​</ns3:t>
          </ns3:r>
          <ns3:d>
            <ns3:dPr>
              <ns3:begChr ns3:val="("/>
              <ns3:sepChr ns3:val=""/>
              <ns3:endChr ns3:val=")"/>
              <ns3:grow/>
            </ns3:dPr>
            <ns3:e>
              <ns3:sSubSup>
                <ns3:e>
                  <ns3:r>
                    <ns3:rPr>
                      <ns3:sty ns3:val="p"/>
                    </ns3:rPr>
                    <ns3:t>∇</ns3:t>
                  </ns3:r>
                </ns3:e>
                <ns3:sub>
                  <ns3:sSub>
                    <ns3:e>
                      <ns3:r>
                        <ns3:t>θ</ns3:t>
                      </ns3:r>
                    </ns3:e>
                    <ns3:sub>
                      <ns3:r>
                        <ns3:t>i</ns3:t>
                      </ns3:r>
                    </ns3:sub>
                  </ns3:sSub>
                </ns3:sub>
                <ns3:sup>
                  <ns3:r>
                    <ns3:t>2</ns3:t>
                  </ns3:r>
                </ns3:sup>
              </ns3:sSubSup>
              <ns3:r>
                <ns3:rPr>
                  <ns3:sty ns3:val="p"/>
                </ns3:rPr>
                <ns3:t>Φ</ns3:t>
              </ns3:r>
              <ns3:r>
                <ns3:rPr>
                  <ns3:sty ns3:val="p"/>
                </ns3:rPr>
                <ns3:t>(</ns3:t>
              </ns3:r>
              <ns3:r>
                <ns3:t>θ</ns3:t>
              </ns3:r>
              <ns3:r>
                <ns3:rPr>
                  <ns3:sty ns3:val="p"/>
                </ns3:rPr>
                <ns3:t>)</ns3:t>
              </ns3:r>
            </ns3:e>
          </ns3:d>
        </ns3:oMath>
      </ns3:oMathPara>
    </w:p>
    <w:p>
      <w:pPr>
        <w:pStyle w:val="FirstParagraph"/>
      </w:pPr>
      <w:r>
        <w:t xml:space="preserve">so compulsive states correspond to deep, high-curvature local wells that raise transition cost.</w:t>
      </w:r>
    </w:p>
    <w:p>
      <w:pPr>
        <w:pStyle w:val="BodyText"/>
      </w:pPr>
      <w:r>
        <w:rPr>
          <w:b/>
          <w:bCs/>
        </w:rPr>
        <w:t xml:space="preserve">Predicted friction signature.</w:t>
      </w:r>
      <w:r>
        <w:t xml:space="preserve"> </w:t>
      </w:r>
      <w:r>
        <w:t xml:space="preserve">OCD is characterized by: (a) dramatically elevated task-switching cost</w:t>
      </w:r>
      <w:r>
        <w:t xml:space="preserve"> </w:t>
      </w:r>
      <w:r>
        <w:rPr>
          <w:i/>
          <w:iCs/>
        </w:rPr>
        <w:t xml:space="preserve">specifically</w:t>
      </w:r>
      <w:r>
        <w:t xml:space="preserve"> </w:t>
      </w:r>
      <w:r>
        <w:t xml:space="preserve">for uncertainty- and contamination-related stimuli; (b) elevated SCR during obsession-related cues (acute</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spikes); and (c) the highest</w:t>
      </w:r>
      <w:r>
        <w:t xml:space="preserve"> </w:t>
      </w:r>
      <ns3:oMath>
        <ns3:sSub>
          <ns3:e>
            <ns3:r>
              <ns3:t>μ</ns3:t>
            </ns3:r>
          </ns3:e>
          <ns3:sub>
            <ns3:r>
              <ns3:rPr>
                <ns3:nor/>
                <ns3:sty ns3:val="p"/>
              </ns3:rPr>
              <ns3:t>sem</ns3:t>
            </ns3:r>
          </ns3:sub>
        </ns3:sSub>
      </ns3:oMath>
      <w:r>
        <w:t xml:space="preserve"> </w:t>
      </w:r>
      <w:r>
        <w:t xml:space="preserve">values, dominated by</w:t>
      </w:r>
      <w:r>
        <w:t xml:space="preserve"> </w:t>
      </w:r>
      <w:r>
        <w:t xml:space="preserve">“must/have to”</w:t>
      </w:r>
      <w:r>
        <w:t xml:space="preserve"> </w:t>
      </w:r>
      <w:r>
        <w:t xml:space="preserve">constructions. Expansion prediction is relatively preserved PCI (system not globally bandwidth-depleted but dynamically stuck). The discriminator from depression is elevated</w:t>
      </w:r>
      <w:r>
        <w:t xml:space="preserve"> </w:t>
      </w:r>
      <w:r>
        <w:rPr>
          <w:i/>
          <w:iCs/>
        </w:rPr>
        <w:t xml:space="preserve">switching</w:t>
      </w:r>
      <w:r>
        <w:t xml:space="preserve"> </w:t>
      </w:r>
      <w:r>
        <w:t xml:space="preserve">friction with comparatively preserved maintenance capacity.</w:t>
      </w:r>
    </w:p>
    <w:bookmarkEnd w:id="29"/>
    <w:bookmarkStart w:id="30" w:name="Xbb3c0ffed21c4008f601a5a76f65fcbc595e57b"/>
    <w:p>
      <w:pPr>
        <w:pStyle w:val="Heading3"/>
      </w:pPr>
      <w:r>
        <w:t xml:space="preserve">4.3 Parkinson’s Disease: Selection Gate Degradation</w:t>
      </w:r>
    </w:p>
    <w:p>
      <w:pPr>
        <w:pStyle w:val="FirstParagraph"/>
      </w:pPr>
      <w:r>
        <w:t xml:space="preserve">Parkinson’s disease (PD) is modeled as a degradation of the thalamo-basal ganglia selection gate — the circuit that converts motor plans stored in slower control variables into initiated actions in the active motor state.</w:t>
      </w:r>
    </w:p>
    <w:p>
      <w:pPr>
        <w:pStyle w:val="BodyText"/>
      </w:pPr>
      <w:r>
        <w:rPr>
          <w:b/>
          <w:bCs/>
        </w:rPr>
        <w:t xml:space="preserve">Mechanism.</w:t>
      </w:r>
      <w:r>
        <w:t xml:space="preserve"> </w:t>
      </w:r>
      <w:r>
        <w:t xml:space="preserve">The dopaminergic signal-to-noise ratio in the striatum serves as a gain parameter for the gate. As dopaminergic neurons in the substantia nigra degenerate, the gate’s capacity to distinguish candidate actions diminishes, and initiation friction rises (Frank et al., 2004; Redgrave et al., 2010). We use a dimensionless embodied anchoring index:</w:t>
      </w:r>
    </w:p>
    <w:p>
      <w:pPr>
        <w:pStyle w:val="BodyText"/>
      </w:pPr>
      <ns3:oMathPara>
        <ns3:oMathParaPr>
          <ns3:jc ns3:val="center"/>
        </ns3:oMathParaPr>
        <ns3:oMath>
          <ns3:sSub>
            <ns3:e>
              <ns3:acc>
                <ns3:accPr>
                  <ns3:chr ns3:val="̃"/>
                </ns3:accPr>
                <ns3:e>
                  <ns3:r>
                    <ns3:t>κ</ns3:t>
                  </ns3:r>
                </ns3:e>
              </ns3:acc>
            </ns3:e>
            <ns3:sub>
              <ns3:r>
                <ns3:rPr>
                  <ns3:nor/>
                  <ns3:sty ns3:val="p"/>
                </ns3:rPr>
                <ns3:t>body</ns3:t>
              </ns3:r>
            </ns3:sub>
          </ns3:sSub>
          <ns3:r>
            <ns3:rPr>
              <ns3:sty ns3:val="p"/>
            </ns3:rPr>
            <ns3:t>(</ns3:t>
          </ns3:r>
          <ns3:r>
            <ns3:t>t</ns3:t>
          </ns3:r>
          <ns3:r>
            <ns3:rPr>
              <ns3:sty ns3:val="p"/>
            </ns3:rPr>
            <ns3:t>)</ns3:t>
          </ns3:r>
          <ns3:r>
            <ns3:rPr>
              <ns3:sty ns3:val="p"/>
            </ns3:rPr>
            <ns3:t>=</ns3:t>
          </ns3:r>
          <ns3:f>
            <ns3:fPr>
              <ns3:type ns3:val="bar"/>
            </ns3:fPr>
            <ns3:num>
              <ns3:r>
                <ns3:rPr>
                  <ns3:nor/>
                  <ns3:sty ns3:val="p"/>
                </ns3:rPr>
                <ns3:t>GripForce</ns3:t>
              </ns3:r>
              <ns3:r>
                <ns3:rPr>
                  <ns3:sty ns3:val="p"/>
                </ns3:rPr>
                <ns3:t>(</ns3:t>
              </ns3:r>
              <ns3:r>
                <ns3:t>t</ns3:t>
              </ns3:r>
              <ns3:r>
                <ns3:rPr>
                  <ns3:sty ns3:val="p"/>
                </ns3:rPr>
                <ns3:t>)</ns3:t>
              </ns3:r>
              <ns3:r>
                <ns3:rPr>
                  <ns3:sty ns3:val="p"/>
                </ns3:rPr>
                <ns3:t>/</ns3:t>
              </ns3:r>
              <ns3:sSub>
                <ns3:e>
                  <ns3:r>
                    <ns3:t>F</ns3:t>
                  </ns3:r>
                </ns3:e>
                <ns3:sub>
                  <ns3:r>
                    <ns3:t>0</ns3:t>
                  </ns3:r>
                </ns3:sub>
              </ns3:sSub>
            </ns3:num>
            <ns3:den>
              <ns3:sSubSup>
                <ns3:e>
                  <ns3:r>
                    <ns3:rPr>
                      <ns3:sty ns3:val="p"/>
                    </ns3:rPr>
                    <ns3:t>Ψ</ns3:t>
                  </ns3:r>
                </ns3:e>
                <ns3:sub>
                  <ns3:r>
                    <ns3:t>f</ns3:t>
                  </ns3:r>
                </ns3:sub>
                <ns3:sup>
                  <ns3:r>
                    <ns3:rPr>
                      <ns3:nor/>
                      <ns3:sty ns3:val="p"/>
                    </ns3:rPr>
                    <ns3:t>initiation</ns3:t>
                  </ns3:r>
                </ns3:sup>
              </ns3:sSubSup>
              <ns3:r>
                <ns3:rPr>
                  <ns3:sty ns3:val="p"/>
                </ns3:rPr>
                <ns3:t>(</ns3:t>
              </ns3:r>
              <ns3:r>
                <ns3:t>t</ns3:t>
              </ns3:r>
              <ns3:r>
                <ns3:rPr>
                  <ns3:sty ns3:val="p"/>
                </ns3:rPr>
                <ns3:t>)</ns3:t>
              </ns3:r>
              <ns3:r>
                <ns3:rPr>
                  <ns3:sty ns3:val="p"/>
                </ns3:rPr>
                <ns3:t>/</ns3:t>
              </ns3:r>
              <ns3:sSub>
                <ns3:e>
                  <ns3:r>
                    <ns3:rPr>
                      <ns3:sty ns3:val="p"/>
                    </ns3:rPr>
                    <ns3:t>Ψ</ns3:t>
                  </ns3:r>
                </ns3:e>
                <ns3:sub>
                  <ns3:r>
                    <ns3:t>0</ns3:t>
                  </ns3:r>
                </ns3:sub>
              </ns3:sSub>
            </ns3:den>
          </ns3:f>
        </ns3:oMath>
      </ns3:oMathPara>
    </w:p>
    <w:p>
      <w:pPr>
        <w:pStyle w:val="FirstParagraph"/>
      </w:pPr>
      <w:r>
        <w:t xml:space="preserve">where</w:t>
      </w:r>
      <w:r>
        <w:t xml:space="preserve"> </w:t>
      </w:r>
      <ns3:oMath>
        <ns3:sSub>
          <ns3:e>
            <ns3:r>
              <ns3:t>F</ns3:t>
            </ns3:r>
          </ns3:e>
          <ns3:sub>
            <ns3:r>
              <ns3:t>0</ns3:t>
            </ns3:r>
          </ns3:sub>
        </ns3:sSub>
      </ns3:oMath>
      <w:r>
        <w:t xml:space="preserve"> </w:t>
      </w:r>
      <w:r>
        <w:t xml:space="preserve">and</w:t>
      </w:r>
      <w:r>
        <w:t xml:space="preserve"> </w:t>
      </w:r>
      <ns3:oMath>
        <ns3:sSub>
          <ns3:e>
            <ns3:r>
              <ns3:rPr>
                <ns3:sty ns3:val="p"/>
              </ns3:rPr>
              <ns3:t>Ψ</ns3:t>
            </ns3:r>
          </ns3:e>
          <ns3:sub>
            <ns3:r>
              <ns3:t>0</ns3:t>
            </ns3:r>
          </ns3:sub>
        </ns3:sSub>
      </ns3:oMath>
      <w:r>
        <w:t xml:space="preserve"> </w:t>
      </w:r>
      <w:r>
        <w:t xml:space="preserve">are participant-specific normalization constants (e.g., baseline grip force and baseline initiation friction estimate). As dopaminergic availability decreases,</w:t>
      </w:r>
      <w:r>
        <w:t xml:space="preserve"> </w:t>
      </w:r>
      <ns3:oMath>
        <ns3:sSub>
          <ns3:e>
            <ns3:acc>
              <ns3:accPr>
                <ns3:chr ns3:val="̃"/>
              </ns3:accPr>
              <ns3:e>
                <ns3:r>
                  <ns3:t>κ</ns3:t>
                </ns3:r>
              </ns3:e>
            </ns3:acc>
          </ns3:e>
          <ns3:sub>
            <ns3:r>
              <ns3:rPr>
                <ns3:nor/>
                <ns3:sty ns3:val="p"/>
              </ns3:rPr>
              <ns3:t>body</ns3:t>
            </ns3:r>
          </ns3:sub>
        </ns3:sSub>
        <ns3:r>
          <ns3:rPr>
            <ns3:sty ns3:val="p"/>
          </ns3:rPr>
          <ns3:t>→</ns3:t>
        </ns3:r>
        <ns3:r>
          <ns3:t>0</ns3:t>
        </ns3:r>
      </ns3:oMath>
      <w:r>
        <w:t xml:space="preserve">: the agent can generate a motor plan but fails to anchor execution in embodied output.</w:t>
      </w:r>
    </w:p>
    <w:p>
      <w:pPr>
        <w:pStyle w:val="BodyText"/>
      </w:pPr>
      <w:r>
        <w:rPr>
          <w:b/>
          <w:bCs/>
        </w:rPr>
        <w:t xml:space="preserve">Predicted friction signature.</w:t>
      </w:r>
      <w:r>
        <w:t xml:space="preserve"> </w:t>
      </w:r>
      <w:r>
        <w:t xml:space="preserve">PD is characterized by: (a) elevated task-switching cost for motor tasks with relatively preserved cognitive switching (early stages); (b) elevated SCR during motor initiation attempts with less pronounced endocrine flattening; and (c)</w:t>
      </w:r>
      <w:r>
        <w:t xml:space="preserve"> </w:t>
      </w:r>
      <ns3:oMath>
        <ns3:sSub>
          <ns3:e>
            <ns3:r>
              <ns3:t>μ</ns3:t>
            </ns3:r>
          </ns3:e>
          <ns3:sub>
            <ns3:r>
              <ns3:rPr>
                <ns3:nor/>
                <ns3:sty ns3:val="p"/>
              </ns3:rPr>
              <ns3:t>sem</ns3:t>
            </ns3:r>
          </ns3:sub>
        </ns3:sSub>
      </ns3:oMath>
      <w:r>
        <w:t xml:space="preserve"> </w:t>
      </w:r>
      <w:r>
        <w:t xml:space="preserve">elevation concentrated in motor-action expressions. Expansion prediction is region-specific PCI reduction in motor cortex with relative prefrontal preservation.</w:t>
      </w:r>
    </w:p>
    <w:p>
      <w:pPr>
        <w:pStyle w:val="BodyText"/>
      </w:pPr>
      <w:r>
        <w:t xml:space="preserve">For empirical PD cohorts, a minimal adjustment set should include dopaminergic medication state (ON/OFF and levodopa-equivalent daily dose), disease duration, motor severity (e.g., UPDRS), sleep status, and major psychiatric comorbidity.</w:t>
      </w:r>
    </w:p>
    <w:bookmarkEnd w:id="30"/>
    <w:bookmarkStart w:id="31" w:name="differential-prediction-table"/>
    <w:p>
      <w:pPr>
        <w:pStyle w:val="Heading3"/>
      </w:pPr>
      <w:r>
        <w:t xml:space="preserve">4.4 Differential Prediction Table</w:t>
      </w:r>
    </w:p>
    <w:p>
      <w:pPr>
        <w:pStyle w:val="FirstParagraph"/>
      </w:pPr>
      <w:r>
        <w:t xml:space="preserve">The clinical utility of</w:t>
      </w:r>
      <w:r>
        <w:t xml:space="preserve"> </w:t>
      </w:r>
      <ns3:oMath>
        <ns3:sSub>
          <ns3:e>
            <ns3:r>
              <ns3:rPr>
                <ns3:sty ns3:val="p"/>
              </ns3:rPr>
              <ns3:t>Ψ</ns3:t>
            </ns3:r>
          </ns3:e>
          <ns3:sub>
            <ns3:r>
              <ns3:t>f</ns3:t>
            </ns3:r>
          </ns3:sub>
        </ns3:sSub>
      </ns3:oMath>
      <w:r>
        <w:t xml:space="preserve"> </w:t>
      </w:r>
      <w:r>
        <w:t xml:space="preserve">depends on its capacity to generate</w:t>
      </w:r>
      <w:r>
        <w:t xml:space="preserve"> </w:t>
      </w:r>
      <w:r>
        <w:rPr>
          <w:i/>
          <w:iCs/>
        </w:rPr>
        <w:t xml:space="preserve">disorder-specific</w:t>
      </w:r>
      <w:r>
        <w:t xml:space="preserve"> </w:t>
      </w:r>
      <w:r>
        <w:t xml:space="preserve">predictions, not merely generic</w:t>
      </w:r>
      <w:r>
        <w:t xml:space="preserve"> </w:t>
      </w:r>
      <w:r>
        <w:t xml:space="preserve">“executive dysfunction”</w:t>
      </w:r>
      <w:r>
        <w:t xml:space="preserve"> </w:t>
      </w:r>
      <w:r>
        <w:t xml:space="preserve">claims. Table 2 summarizes the predicted friction signatures across conditions.</w:t>
      </w:r>
    </w:p>
    <w:p>
      <w:pPr>
        <w:pStyle w:val="BodyText"/>
      </w:pPr>
      <w:r>
        <w:rPr>
          <w:i/>
          <w:iCs/>
        </w:rPr>
        <w:t xml:space="preserve">Insert Table 2 near here.</w:t>
      </w:r>
    </w:p>
    <w:p>
      <w:pPr>
        <w:pStyle w:val="BodyText"/>
      </w:pPr>
      <w:r>
        <w:t xml:space="preserve">Core-chain inference in this manuscript is based primarily on behavioral + linguistic + low-cost physiological rows. ROS and neural rows are treated as expansion targets for later-phase adjudication.</w:t>
      </w:r>
    </w:p>
    <w:p>
      <w:pPr>
        <w:pStyle w:val="BodyText"/>
      </w:pPr>
      <w:r>
        <w:t xml:space="preserve">To sharpen falsifiability, we propose two discriminator patterns.</w:t>
      </w:r>
      <w:r>
        <w:t xml:space="preserve"> </w:t>
      </w:r>
      <w:r>
        <w:rPr>
          <w:b/>
          <w:bCs/>
        </w:rPr>
        <w:t xml:space="preserve">Pattern A (OCD dissociation):</w:t>
      </w:r>
      <w:r>
        <w:t xml:space="preserve"> </w:t>
      </w:r>
      <w:r>
        <w:t xml:space="preserve">OCD should show a clearer constraint-dominant</w:t>
      </w:r>
      <w:r>
        <w:t xml:space="preserve"> </w:t>
      </w:r>
      <ns3:oMath>
        <ns3:sSub>
          <ns3:e>
            <ns3:r>
              <ns3:t>μ</ns3:t>
            </ns3:r>
          </ns3:e>
          <ns3:sub>
            <ns3:r>
              <ns3:rPr>
                <ns3:nor/>
                <ns3:sty ns3:val="p"/>
              </ns3:rPr>
              <ns3:t>sem</ns3:t>
            </ns3:r>
          </ns3:sub>
        </ns3:sSub>
      </ns3:oMath>
      <w:r>
        <w:t xml:space="preserve"> </w:t>
      </w:r>
      <w:r>
        <w:t xml:space="preserve">profile than controls and typically than MDD, while PCI remains approximately near control range in expansion cohorts.</w:t>
      </w:r>
      <w:r>
        <w:t xml:space="preserve"> </w:t>
      </w:r>
      <w:r>
        <w:rPr>
          <w:b/>
          <w:bCs/>
        </w:rPr>
        <w:t xml:space="preserve">Pattern B (PD motor selectivity):</w:t>
      </w:r>
      <w:r>
        <w:t xml:space="preserve"> </w:t>
      </w:r>
      <w:r>
        <w:t xml:space="preserve">PD should show substantially larger motor-switch impairment than cognitive-switch impairment in early-stage cohorts. In contrast, single-resource formulations (including standard single-task EVC fits or undifferentiated global-deficit accounts) typically predict more monotonic cross-domain impairment and weaker dissociation in these paired contrasts.</w:t>
      </w:r>
    </w:p>
    <w:p>
      <w:pPr>
        <w:pStyle w:val="BodyText"/>
      </w:pPr>
      <w:r>
        <w:t xml:space="preserve">These predictions are falsifiable: if, for example, OCD patients do not show the highest</w:t>
      </w:r>
      <w:r>
        <w:t xml:space="preserve"> </w:t>
      </w:r>
      <ns3:oMath>
        <ns3:sSub>
          <ns3:e>
            <ns3:r>
              <ns3:t>μ</ns3:t>
            </ns3:r>
          </ns3:e>
          <ns3:sub>
            <ns3:r>
              <ns3:rPr>
                <ns3:nor/>
                <ns3:sty ns3:val="p"/>
              </ns3:rPr>
              <ns3:t>sem</ns3:t>
            </ns3:r>
          </ns3:sub>
        </ns3:sSub>
      </ns3:oMath>
      <w:r>
        <w:t xml:space="preserve"> </w:t>
      </w:r>
      <w:r>
        <w:t xml:space="preserve">values, or if PD patients show generalized rather than motor-specific switching cost elevation, the disorder-specific</w:t>
      </w:r>
      <w:r>
        <w:t xml:space="preserve"> </w:t>
      </w:r>
      <ns3:oMath>
        <ns3:sSub>
          <ns3:e>
            <ns3:r>
              <ns3:rPr>
                <ns3:sty ns3:val="p"/>
              </ns3:rPr>
              <ns3:t>Ψ</ns3:t>
            </ns3:r>
          </ns3:e>
          <ns3:sub>
            <ns3:r>
              <ns3:t>f</ns3:t>
            </ns3:r>
          </ns3:sub>
        </ns3:sSub>
      </ns3:oMath>
      <w:r>
        <w:t xml:space="preserve"> </w:t>
      </w:r>
      <w:r>
        <w:t xml:space="preserve">models require revision.</w:t>
      </w:r>
    </w:p>
    <w:p>
      <w:pPr>
        <w:pStyle w:val="BodyText"/>
      </w:pPr>
      <w:r>
        <w:rPr>
          <w:i/>
          <w:iCs/>
        </w:rPr>
        <w:t xml:space="preserve">Insert Figure 4 near here.</w:t>
      </w:r>
    </w:p>
    <w:bookmarkEnd w:id="31"/>
    <w:bookmarkStart w:id="32" w:name="X2c054530f1ba216fead8ac98dccc671c0805e69"/>
    <w:p>
      <w:pPr>
        <w:pStyle w:val="Heading3"/>
      </w:pPr>
      <w:r>
        <w:t xml:space="preserve">4.5 Competing Explanations and Decisive Phase-2 Tests</w:t>
      </w:r>
    </w:p>
    <w:p>
      <w:pPr>
        <w:pStyle w:val="FirstParagraph"/>
      </w:pPr>
      <w:r>
        <w:t xml:space="preserve">To reduce over-interpretation risk, each disorder signature is paired with a concrete competing explanation and a decisive phase-2 contrast:</w:t>
      </w:r>
    </w:p>
    <w:p>
      <w:pPr>
        <w:pStyle w:val="Compact"/>
        <w:numPr>
          <w:ilvl w:val="0"/>
          <w:numId w:val="1005"/>
        </w:numPr>
      </w:pPr>
      <w:r>
        <w:rPr>
          <w:b/>
          <w:bCs/>
        </w:rPr>
        <w:t xml:space="preserve">MDD:</w:t>
      </w:r>
      <w:r>
        <w:t xml:space="preserve"> </w:t>
      </w:r>
      <w:r>
        <w:t xml:space="preserve">versus generic symptom-severity accounts. Decisive test: whether high</w:t>
      </w:r>
      <w:r>
        <w:t xml:space="preserve"> </w:t>
      </w:r>
      <ns3:oMath>
        <ns3:sSub>
          <ns3:e>
            <ns3:r>
              <ns3:rPr>
                <ns3:sty ns3:val="p"/>
              </ns3:rPr>
              <ns3:t>Ψ</ns3:t>
            </ns3:r>
          </ns3:e>
          <ns3:sub>
            <ns3:r>
              <ns3:t>f</ns3:t>
            </ns3:r>
          </ns3:sub>
        </ns3:sSub>
      </ns3:oMath>
      <w:r>
        <w:t xml:space="preserve"> </w:t>
      </w:r>
      <w:r>
        <w:t xml:space="preserve">profile predicts a specific combination (high temporal discounting + slow HRV recovery + elevated</w:t>
      </w:r>
      <w:r>
        <w:t xml:space="preserve"> </w:t>
      </w:r>
      <ns3:oMath>
        <ns3:sSub>
          <ns3:e>
            <ns3:r>
              <ns3:t>μ</ns3:t>
            </ns3:r>
          </ns3:e>
          <ns3:sub>
            <ns3:r>
              <ns3:rPr>
                <ns3:nor/>
                <ns3:sty ns3:val="p"/>
              </ns3:rPr>
              <ns3:t>sem</ns3:t>
            </ns3:r>
          </ns3:sub>
        </ns3:sSub>
      </ns3:oMath>
      <w:r>
        <w:t xml:space="preserve">) rather than uniform global impairment alone.</w:t>
      </w:r>
    </w:p>
    <w:p>
      <w:pPr>
        <w:pStyle w:val="Compact"/>
        <w:numPr>
          <w:ilvl w:val="0"/>
          <w:numId w:val="1005"/>
        </w:numPr>
      </w:pPr>
      <w:r>
        <w:rPr>
          <w:b/>
          <w:bCs/>
        </w:rPr>
        <w:t xml:space="preserve">OCD:</w:t>
      </w:r>
      <w:r>
        <w:t xml:space="preserve"> </w:t>
      </w:r>
      <w:r>
        <w:t xml:space="preserve">versus generalized anxiety/rumination accounts. Decisive test: domain-specific switching viscosity plus highest</w:t>
      </w:r>
      <w:r>
        <w:t xml:space="preserve"> </w:t>
      </w:r>
      <ns3:oMath>
        <ns3:sSub>
          <ns3:e>
            <ns3:r>
              <ns3:t>μ</ns3:t>
            </ns3:r>
          </ns3:e>
          <ns3:sub>
            <ns3:r>
              <ns3:rPr>
                <ns3:nor/>
                <ns3:sty ns3:val="p"/>
              </ns3:rPr>
              <ns3:t>sem</ns3:t>
            </ns3:r>
          </ns3:sub>
        </ns3:sSub>
      </ns3:oMath>
      <w:r>
        <w:t xml:space="preserve"> </w:t>
      </w:r>
      <w:r>
        <w:t xml:space="preserve">under preserved global PCI-range indices in expansion cohorts.</w:t>
      </w:r>
    </w:p>
    <w:p>
      <w:pPr>
        <w:pStyle w:val="Compact"/>
        <w:numPr>
          <w:ilvl w:val="0"/>
          <w:numId w:val="1005"/>
        </w:numPr>
      </w:pPr>
      <w:r>
        <w:rPr>
          <w:b/>
          <w:bCs/>
        </w:rPr>
        <w:t xml:space="preserve">PD:</w:t>
      </w:r>
      <w:r>
        <w:t xml:space="preserve"> </w:t>
      </w:r>
      <w:r>
        <w:t xml:space="preserve">versus global psychomotor slowing. Decisive test: motor-selective switch impairment with comparatively preserved cognitive switching in early-stage cohorts, plus initiation-specific autonomic spikes.</w:t>
      </w:r>
    </w:p>
    <w:p>
      <w:pPr>
        <w:pStyle w:val="FirstParagraph"/>
      </w:pPr>
      <w:r>
        <w:t xml:space="preserve">If these contrasts fail, the clinical mapping should be downgraded to transdiagnostic severity effects rather than disorder-specific signatures.</w:t>
      </w:r>
    </w:p>
    <w:p>
      <w:r>
        <w:pict>
          <ns1:rect style="width:0;height:1.5pt" ns2:hralign="center" ns2:hrstd="t" ns2:hr="t"/>
        </w:pict>
      </w:r>
    </w:p>
    <w:bookmarkEnd w:id="32"/>
    <w:bookmarkEnd w:id="33"/>
    <w:bookmarkStart w:id="40" w:name="Xbfed5f353c08cd6986e4d7a7fbcc9f55d9a07bd"/>
    <w:p>
      <w:pPr>
        <w:pStyle w:val="Heading2"/>
      </w:pPr>
      <w:r>
        <w:t xml:space="preserve">5. Falsifiable Hypotheses and Proposed Experimental Protocols</w:t>
      </w:r>
    </w:p>
    <w:p>
      <w:pPr>
        <w:pStyle w:val="FirstParagraph"/>
      </w:pPr>
      <w:r>
        <w:t xml:space="preserve">We now present five pre-registration-ready hypotheses derived from the</w:t>
      </w:r>
      <w:r>
        <w:t xml:space="preserve"> </w:t>
      </w:r>
      <ns3:oMath>
        <ns3:sSub>
          <ns3:e>
            <ns3:r>
              <ns3:rPr>
                <ns3:sty ns3:val="p"/>
              </ns3:rPr>
              <ns3:t>Ψ</ns3:t>
            </ns3:r>
          </ns3:e>
          <ns3:sub>
            <ns3:r>
              <ns3:t>f</ns3:t>
            </ns3:r>
          </ns3:sub>
        </ns3:sSub>
      </ns3:oMath>
      <w:r>
        <w:t xml:space="preserve"> </w:t>
      </w:r>
      <w:r>
        <w:t xml:space="preserve">framework. Each hypothesis specifies the prediction, the falsification criterion, the required sample size, and the core measurement protocol. We emphasize that these hypotheses are designed to be</w:t>
      </w:r>
      <w:r>
        <w:t xml:space="preserve"> </w:t>
      </w:r>
      <w:r>
        <w:rPr>
          <w:i/>
          <w:iCs/>
        </w:rPr>
        <w:t xml:space="preserve">individually falsifiable</w:t>
      </w:r>
      <w:r>
        <w:t xml:space="preserve"> </w:t>
      </w:r>
      <w:r>
        <w:t xml:space="preserve">— rejection of any single hypothesis does not invalidate the entire framework but constrains its scope.</w:t>
      </w:r>
    </w:p>
    <w:bookmarkStart w:id="34" w:name="X4c90f1f699d81aa33deaa0d51db7e9c6438b526"/>
    <w:p>
      <w:pPr>
        <w:pStyle w:val="Heading3"/>
      </w:pPr>
      <w:r>
        <w:t xml:space="preserve">5.1 Hypothesis H72: Modal Verb Patterns Reflect Executive Friction</w:t>
      </w:r>
    </w:p>
    <w:p>
      <w:pPr>
        <w:pStyle w:val="FirstParagraph"/>
      </w:pPr>
      <w:r>
        <w:rPr>
          <w:b/>
          <w:bCs/>
        </w:rPr>
        <w:t xml:space="preserve">Prediction.</w:t>
      </w:r>
      <w:r>
        <w:t xml:space="preserve"> </w:t>
      </w:r>
      <w:r>
        <w:t xml:space="preserve">Within-subject adjusted modal ratio</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(Equation 10a) is higher in</w:t>
      </w:r>
      <w:r>
        <w:t xml:space="preserve"> </w:t>
      </w:r>
      <w:r>
        <w:rPr>
          <w:b/>
          <w:bCs/>
        </w:rPr>
        <w:t xml:space="preserve">self-decision narratives</w:t>
      </w:r>
      <w:r>
        <w:t xml:space="preserve"> </w:t>
      </w:r>
      <w:r>
        <w:t xml:space="preserve">than in</w:t>
      </w:r>
      <w:r>
        <w:t xml:space="preserve"> </w:t>
      </w:r>
      <w:r>
        <w:rPr>
          <w:b/>
          <w:bCs/>
        </w:rPr>
        <w:t xml:space="preserve">neutral factual retell</w:t>
      </w:r>
      <w:r>
        <w:t xml:space="preserve"> </w:t>
      </w:r>
      <w:r>
        <w:t xml:space="preserve">prompts, and the context contrast</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w:t>
      </w:r>
      <w:r>
        <w:t xml:space="preserve">is expected to show small-to-moderate positive association with the behavioral</w:t>
      </w:r>
      <w:r>
        <w:t xml:space="preserve"> </w:t>
      </w:r>
      <ns3:oMath>
        <ns3:sSub>
          <ns3:e>
            <ns3:r>
              <ns3:rPr>
                <ns3:sty ns3:val="p"/>
              </ns3:rPr>
              <ns3:t>Ψ</ns3:t>
            </ns3:r>
          </ns3:e>
          <ns3:sub>
            <ns3:r>
              <ns3:t>f</ns3:t>
            </ns3:r>
          </ns3:sub>
        </ns3:sSub>
      </ns3:oMath>
      <w:r>
        <w:t xml:space="preserve"> </w:t>
      </w:r>
      <w:r>
        <w:t xml:space="preserve">composite (task-switch cost + Stroop interference + perseverative errors) and inverse association with HRV recovery slope. We further predict incremental validity after adding symptom controls (PHQ-9, GAD-7, or equivalent), affective-word ratio, and block-wise appraisal ratings.</w:t>
      </w:r>
    </w:p>
    <w:p>
      <w:pPr>
        <w:pStyle w:val="BodyText"/>
      </w:pPr>
      <w:r>
        <w:rPr>
          <w:b/>
          <w:bCs/>
        </w:rPr>
        <w:t xml:space="preserve">Protocol.</w:t>
      </w:r>
      <w:r>
        <w:t xml:space="preserve"> </w:t>
      </w:r>
      <ns3:oMath>
        <ns3:r>
          <ns3:t>N</ns3:t>
        </ns3:r>
        <ns3:r>
          <ns3:rPr>
            <ns3:sty ns3:val="p"/>
          </ns3:rPr>
          <ns3:t>=</ns3:t>
        </ns3:r>
        <ns3:r>
          <ns3:t>120</ns3:t>
        </ns3:r>
      </ns3:oMath>
      <w:r>
        <w:t xml:space="preserve"> </w:t>
      </w:r>
      <w:r>
        <w:t xml:space="preserve">healthy adults, tested in three sessions over six weeks. Each session includes: (1) two fixed prompt blocks (neutral factual retell and self-decision narrative; total 15 minutes), recorded and transcribed; (2) behavioral battery (task switching, Stroop, WCST); and (3) HRV + SCR recording (cortisol optional for the core chain). Prompt administration is standardized: factual block uses a fixed non-evaluative script (e.g.,</w:t>
      </w:r>
      <w:r>
        <w:t xml:space="preserve"> </w:t>
      </w:r>
      <w:r>
        <w:t xml:space="preserve">“describe yesterday’s routine chronologically”</w:t>
      </w:r>
      <w:r>
        <w:t xml:space="preserve">), decision block uses a fixed self-choice script (e.g.,</w:t>
      </w:r>
      <w:r>
        <w:t xml:space="preserve"> </w:t>
      </w:r>
      <w:r>
        <w:t xml:space="preserve">“describe an unresolved decision and candidate actions”</w:t>
      </w:r>
      <w:r>
        <w:t xml:space="preserve">), each with fixed speaking duration and counterbalanced order across sessions. After each block, participants provide a 0-100 challenge/threat appraisal score used in Equation (4)-linked analyses.</w:t>
      </w:r>
      <w:r>
        <w:t xml:space="preserve"> </w:t>
      </w:r>
      <ns3:oMath>
        <ns3:sSub>
          <ns3:e>
            <ns3:r>
              <ns3:t>μ</ns3:t>
            </ns3:r>
          </ns3:e>
          <ns3:sub>
            <ns3:r>
              <ns3:rPr>
                <ns3:nor/>
                <ns3:sty ns3:val="p"/>
              </ns3:rPr>
              <ns3:t>sem</ns3:t>
            </ns3:r>
          </ns3:sub>
        </ns3:sSub>
      </ns3:oMath>
      <w:r>
        <w:t xml:space="preserve"> </w:t>
      </w:r>
      <w:r>
        <w:t xml:space="preserve">is extracted with a pre-registered modal dictionary and residualized using Equation (10a). Interviewer identity is modeled as a random effect (random intercept plus context slope when estimable). Samples with fewer than 10 modal tokens are excluded a priori.</w:t>
      </w:r>
    </w:p>
    <w:p>
      <w:pPr>
        <w:pStyle w:val="BodyText"/>
      </w:pPr>
      <w:r>
        <w:rPr>
          <w:b/>
          <w:bCs/>
        </w:rPr>
        <w:t xml:space="preserve">Statistical analysis.</w:t>
      </w:r>
      <w:r>
        <w:t xml:space="preserve"> </w:t>
      </w:r>
      <w:r>
        <w:t xml:space="preserve">Multilevel models with random intercepts and slopes are used for within-subject association tests. Primary fixed effects are context (decision vs factual),</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block-wise appraisal, and their links to behavioral/HRV outcomes. Incremental validity is tested via</w:t>
      </w:r>
      <w:r>
        <w:t xml:space="preserve"> </w:t>
      </w:r>
      <ns3:oMath>
        <ns3:r>
          <ns3:rPr>
            <ns3:sty ns3:val="p"/>
          </ns3:rPr>
          <ns3:t>Δ</ns3:t>
        </ns3:r>
        <ns3:sSup>
          <ns3:e>
            <ns3:r>
              <ns3:t>R</ns3:t>
            </ns3:r>
          </ns3:e>
          <ns3:sup>
            <ns3:r>
              <ns3:t>2</ns3:t>
            </ns3:r>
          </ns3:sup>
        </ns3:sSup>
      </ns3:oMath>
      <w:r>
        <w:t xml:space="preserve"> </w:t>
      </w:r>
      <w:r>
        <w:t xml:space="preserve">after adding PHQ-9 and GAD-7 (Kroenke et al., 2001; Spitzer et al., 2006) or equivalent symptom scales, plus affective-word ratio. If multilingual cohorts are used, configural/metric invariance is tested before pooled confirmatory inference. Test-retest reliability is assessed via ICC for both raw</w:t>
      </w:r>
      <w:r>
        <w:t xml:space="preserve"> </w:t>
      </w:r>
      <ns3:oMath>
        <ns3:sSub>
          <ns3:e>
            <ns3:r>
              <ns3:t>μ</ns3:t>
            </ns3:r>
          </ns3:e>
          <ns3:sub>
            <ns3:r>
              <ns3:rPr>
                <ns3:nor/>
                <ns3:sty ns3:val="p"/>
              </ns3:rPr>
              <ns3:t>sem</ns3:t>
            </ns3:r>
          </ns3:sub>
        </ns3:sSub>
      </ns3:oMath>
      <w:r>
        <w:t xml:space="preserve"> </w:t>
      </w:r>
      <w:r>
        <w:t xml:space="preserve">and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w:t>
      </w:r>
    </w:p>
    <w:p>
      <w:pPr>
        <w:pStyle w:val="BodyText"/>
      </w:pPr>
      <w:r>
        <w:rPr>
          <w:b/>
          <w:bCs/>
        </w:rPr>
        <w:t xml:space="preserve">Falsification criterion.</w:t>
      </w:r>
      <w:r>
        <w:t xml:space="preserve"> </w:t>
      </w:r>
      <w:r>
        <w:t xml:space="preserve">If (a) no decision-vs-factual context effect is observed for</w:t>
      </w:r>
      <w:r>
        <w:t xml:space="preserve"> </w:t>
      </w:r>
      <ns3:oMath>
        <ns3:sSubSup>
          <ns3:e>
            <ns3:r>
              <ns3:t>μ</ns3:t>
            </ns3:r>
          </ns3:e>
          <ns3:sub>
            <ns3:r>
              <ns3:rPr>
                <ns3:nor/>
                <ns3:sty ns3:val="p"/>
              </ns3:rPr>
              <ns3:t>sem</ns3:t>
            </ns3:r>
          </ns3:sub>
          <ns3:sup>
            <ns3:r>
              <ns3:rPr>
                <ns3:nor/>
                <ns3:sty ns3:val="p"/>
              </ns3:rPr>
              <ns3:t>adj</ns3:t>
            </ns3:r>
          </ns3:sup>
        </ns3:sSubSup>
      </ns3:oMath>
      <w:r>
        <w:t xml:space="preserve">, and (b)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provides no meaningful incremental variance beyond symptom and affect controls, H72 is rejected and the linguistic proxy class is removed from the core model. The conjunction is intentional: either context sensitivity (supporting within-subject construct validity) or incremental predictive validity (supporting cross-construct utility) is considered sufficient to retain the linguistic probe for further testing, whereas removal is reserved for the case in which both forms of support fail.</w:t>
      </w:r>
    </w:p>
    <w:p>
      <w:pPr>
        <w:pStyle w:val="BodyText"/>
      </w:pPr>
      <w:r>
        <w:rPr>
          <w:b/>
          <w:bCs/>
        </w:rPr>
        <w:t xml:space="preserve">Planning note.</w:t>
      </w:r>
      <w:r>
        <w:t xml:space="preserve"> </w:t>
      </w:r>
      <w:r>
        <w:t xml:space="preserve">The initial planning value is</w:t>
      </w:r>
      <w:r>
        <w:t xml:space="preserve"> </w:t>
      </w:r>
      <ns3:oMath>
        <ns3:r>
          <ns3:t>N</ns3:t>
        </ns3:r>
        <ns3:r>
          <ns3:rPr>
            <ns3:sty ns3:val="p"/>
          </ns3:rPr>
          <ns3:t>=</ns3:t>
        </ns3:r>
        <ns3:r>
          <ns3:t>120</ns3:t>
        </ns3:r>
      </ns3:oMath>
      <w:r>
        <w:t xml:space="preserve"> </w:t>
      </w:r>
      <w:r>
        <w:t xml:space="preserve">across three time points, sized for stable estimation of small-to-moderate within-subject associations under plausible repeated-measures reliability assumptions. Sample sizes were informed by effect-size benchmarks from the task-switching, executive-function, and clinical psychophysiology literatures, while exact power tolerances are intended to be fixed in the public preregistration and accompanying scripts before data collection.</w:t>
      </w:r>
    </w:p>
    <w:bookmarkEnd w:id="34"/>
    <w:bookmarkStart w:id="35" w:name="X7880458a9909b46ee08612007bc09c802a8107e"/>
    <w:p>
      <w:pPr>
        <w:pStyle w:val="Heading3"/>
      </w:pPr>
      <w:r>
        <w:t xml:space="preserve">5.2 Hypothesis H-NEURO-EXEC-01: Nonlinear Executive Cost Under High</w:t>
      </w:r>
      <w:r>
        <w:t xml:space="preserve"> </w:t>
      </w:r>
      <ns3:oMath>
        <ns3:sSub>
          <ns3:e>
            <ns3:r>
              <ns3:rPr>
                <ns3:sty ns3:val="p"/>
              </ns3:rPr>
              <ns3:t>Ψ</ns3:t>
            </ns3:r>
          </ns3:e>
          <ns3:sub>
            <ns3:r>
              <ns3:t>f</ns3:t>
            </ns3:r>
          </ns3:sub>
        </ns3:sSub>
      </ns3:oMath>
    </w:p>
    <w:p>
      <w:pPr>
        <w:pStyle w:val="FirstParagraph"/>
      </w:pPr>
      <w:r>
        <w:rPr>
          <w:b/>
          <w:bCs/>
        </w:rPr>
        <w:t xml:space="preserve">Prediction.</w:t>
      </w:r>
      <w:r>
        <w:t xml:space="preserve"> </w:t>
      </w:r>
      <w:r>
        <w:t xml:space="preserve">Task-switching cost increases nonlinearly as a function of concurrent normalized load. The confirmatory estimator is</w:t>
      </w:r>
      <w:r>
        <w:t xml:space="preserve"> </w:t>
      </w:r>
      <ns3:oMath>
        <ns3:sSup>
          <ns3:e>
            <ns3:r>
              <ns3:t>ρ</ns3:t>
            </ns3:r>
          </ns3:e>
          <ns3:sup>
            <ns3:r>
              <ns3:rPr>
                <ns3:sty ns3:val="p"/>
              </ns3:rPr>
              <ns3:t>*</ns3:t>
            </ns3:r>
          </ns3:sup>
        </ns3:sSup>
      </ns3:oMath>
      <w:r>
        <w:t xml:space="preserve"> </w:t>
      </w:r>
      <w:r>
        <w:t xml:space="preserve">(Equation 7c), with ratio-based</w:t>
      </w:r>
      <w:r>
        <w:t xml:space="preserve"> </w:t>
      </w:r>
      <ns3:oMath>
        <ns3:r>
          <ns3:t>ρ</ns3:t>
        </ns3:r>
      </ns3:oMath>
      <w:r>
        <w:t xml:space="preserve"> </w:t>
      </w:r>
      <w:r>
        <w:t xml:space="preserve">(Equation 7a) as sensitivity analysis. Specifically, a changepoint model (Equation 7b) should show meaningfully better fit than a linear model and yield an identifiable critical point</w:t>
      </w:r>
      <w:r>
        <w:t xml:space="preserve"> </w:t>
      </w:r>
      <ns3:oMath>
        <ns3:sSubSup>
          <ns3:e>
            <ns3:r>
              <ns3:t>ρ</ns3:t>
            </ns3:r>
          </ns3:e>
          <ns3:sub>
            <ns3:r>
              <ns3:t>c</ns3:t>
            </ns3:r>
          </ns3:sub>
          <ns3:sup>
            <ns3:r>
              <ns3:rPr>
                <ns3:sty ns3:val="p"/>
              </ns3:rPr>
              <ns3:t>*</ns3:t>
            </ns3:r>
          </ns3:sup>
        </ns3:sSubSup>
      </ns3:oMath>
      <w:r>
        <w:t xml:space="preserve"> </w:t>
      </w:r>
      <w:r>
        <w:t xml:space="preserve">(and concordant</w:t>
      </w:r>
      <w:r>
        <w:t xml:space="preserve"> </w:t>
      </w:r>
      <ns3:oMath>
        <ns3:sSub>
          <ns3:e>
            <ns3:r>
              <ns3:t>ρ</ns3:t>
            </ns3:r>
          </ns3:e>
          <ns3:sub>
            <ns3:r>
              <ns3:t>c</ns3:t>
            </ns3:r>
          </ns3:sub>
        </ns3:sSub>
      </ns3:oMath>
      <w:r>
        <w:t xml:space="preserve"> </w:t>
      </w:r>
      <w:r>
        <w:t xml:space="preserve">in sensitivity checks).</w:t>
      </w:r>
    </w:p>
    <w:p>
      <w:pPr>
        <w:pStyle w:val="BodyText"/>
      </w:pPr>
      <w:r>
        <w:rPr>
          <w:b/>
          <w:bCs/>
        </w:rPr>
        <w:t xml:space="preserve">Protocol.</w:t>
      </w:r>
      <w:r>
        <w:t xml:space="preserve"> </w:t>
      </w:r>
      <ns3:oMath>
        <ns3:r>
          <ns3:t>N</ns3:t>
        </ns3:r>
        <ns3:r>
          <ns3:rPr>
            <ns3:sty ns3:val="p"/>
          </ns3:rPr>
          <ns3:t>=</ns3:t>
        </ns3:r>
        <ns3:r>
          <ns3:t>80</ns3:t>
        </ns3:r>
      </ns3:oMath>
      <w:r>
        <w:t xml:space="preserve"> </w:t>
      </w:r>
      <w:r>
        <w:t xml:space="preserve">healthy adults in a within-subject design.</w:t>
      </w:r>
      <w:r>
        <w:t xml:space="preserve"> </w:t>
      </w:r>
      <ns3:oMath>
        <ns3:sSub>
          <ns3:e>
            <ns3:r>
              <ns3:rPr>
                <ns3:sty ns3:val="p"/>
              </ns3:rPr>
              <ns3:t>Ψ</ns3:t>
            </ns3:r>
          </ns3:e>
          <ns3:sub>
            <ns3:r>
              <ns3:t>f</ns3:t>
            </ns3:r>
          </ns3:sub>
        </ns3:sSub>
      </ns3:oMath>
      <w:r>
        <w:t xml:space="preserve"> </w:t>
      </w:r>
      <w:r>
        <w:t xml:space="preserve">load is manipulated at four levels: (1) single-task switching, (2) low concurrent load, (3) high concurrent load, and (4) social-evaluative stress. Task-switching cost is measured at each level; HRV and SCR are recorded to estimate concurrent load. For phase-1 estimation, baseline friction is operationalized as a latent composite from</w:t>
      </w:r>
      <w:r>
        <w:t xml:space="preserve"> </w:t>
      </w:r>
      <ns3:oMath>
        <ns3:sSubSup>
          <ns3:e>
            <ns3:r>
              <ns3:t>μ</ns3:t>
            </ns3:r>
          </ns3:e>
          <ns3:sub>
            <ns3:r>
              <ns3:rPr>
                <ns3:nor/>
                <ns3:sty ns3:val="p"/>
              </ns3:rPr>
              <ns3:t>sem</ns3:t>
            </ns3:r>
          </ns3:sub>
          <ns3:sup>
            <ns3:r>
              <ns3:rPr>
                <ns3:nor/>
                <ns3:sty ns3:val="p"/>
              </ns3:rPr>
              <ns3:t>adj</ns3:t>
            </ns3:r>
          </ns3:sup>
        </ns3:sSubSup>
      </ns3:oMath>
      <w:r>
        <w:t xml:space="preserve">, resting HRV (inverse-coded), and baseline switch cost;</w:t>
      </w:r>
      <w:r>
        <w:t xml:space="preserve"> </w:t>
      </w:r>
      <ns3:oMath>
        <ns3:sSub>
          <ns3:e>
            <ns3:r>
              <ns3:t>P</ns3:t>
            </ns3:r>
          </ns3:e>
          <ns3:sub>
            <ns3:r>
              <ns3:rPr>
                <ns3:nor/>
                <ns3:sty ns3:val="p"/>
              </ns3:rPr>
              <ns3:t>sel</ns3:t>
            </ns3:r>
          </ns3:sub>
        </ns3:sSub>
      </ns3:oMath>
      <w:r>
        <w:t xml:space="preserve"> </w:t>
      </w:r>
      <w:r>
        <w:t xml:space="preserve">is proxied by normalized HRV/SCR recovery. Primary confirmatory analyses use</w:t>
      </w:r>
      <w:r>
        <w:t xml:space="preserve"> </w:t>
      </w:r>
      <ns3:oMath>
        <ns3:sSup>
          <ns3:e>
            <ns3:r>
              <ns3:t>ρ</ns3:t>
            </ns3:r>
          </ns3:e>
          <ns3:sup>
            <ns3:r>
              <ns3:rPr>
                <ns3:sty ns3:val="p"/>
              </ns3:rPr>
              <ns3:t>*</ns3:t>
            </ns3:r>
          </ns3:sup>
        </ns3:sSup>
      </ns3:oMath>
      <w:r>
        <w:t xml:space="preserve"> </w:t>
      </w:r>
      <w:r>
        <w:t xml:space="preserve">(Eq. 7c); ratio-based</w:t>
      </w:r>
      <w:r>
        <w:t xml:space="preserve"> </w:t>
      </w:r>
      <ns3:oMath>
        <ns3:r>
          <ns3:t>ρ</ns3:t>
        </ns3:r>
      </ns3:oMath>
      <w:r>
        <w:t xml:space="preserve"> </w:t>
      </w:r>
      <w:r>
        <w:t xml:space="preserve">(Eq. 7a) is pre-specified sensitivity analysis.</w:t>
      </w:r>
    </w:p>
    <w:p>
      <w:pPr>
        <w:pStyle w:val="BodyText"/>
      </w:pPr>
      <w:r>
        <w:rPr>
          <w:b/>
          <w:bCs/>
        </w:rPr>
        <w:t xml:space="preserve">Falsification criterion.</w:t>
      </w:r>
      <w:r>
        <w:t xml:space="preserve"> </w:t>
      </w:r>
      <w:r>
        <w:t xml:space="preserve">If a linear model provides comparable or better fit in the</w:t>
      </w:r>
      <w:r>
        <w:t xml:space="preserve"> </w:t>
      </w:r>
      <w:r>
        <w:rPr>
          <w:b/>
          <w:bCs/>
        </w:rPr>
        <w:t xml:space="preserve">primary</w:t>
      </w:r>
      <w:r>
        <w:rPr>
          <w:b/>
          <w:bCs/>
        </w:rPr>
        <w:t xml:space="preserve"> </w:t>
      </w:r>
      <ns3:oMath>
        <ns3:sSup>
          <ns3:e>
            <ns3:r>
              <ns3:t>ρ</ns3:t>
            </ns3:r>
          </ns3:e>
          <ns3:sup>
            <ns3:r>
              <ns3:rPr>
                <ns3:sty ns3:val="p"/>
              </ns3:rPr>
              <ns3:t>*</ns3:t>
            </ns3:r>
          </ns3:sup>
        </ns3:sSup>
      </ns3:oMath>
      <w:r>
        <w:rPr>
          <w:b/>
          <w:bCs/>
        </w:rPr>
        <w:t xml:space="preserve"> </w:t>
      </w:r>
      <w:r>
        <w:rPr>
          <w:b/>
          <w:bCs/>
        </w:rPr>
        <w:t xml:space="preserve">analysis</w:t>
      </w:r>
      <w:r>
        <w:t xml:space="preserve">, or if no positive</w:t>
      </w:r>
      <w:r>
        <w:t xml:space="preserve"> </w:t>
      </w:r>
      <ns3:oMath>
        <ns3:sSubSup>
          <ns3:e>
            <ns3:r>
              <ns3:t>ρ</ns3:t>
            </ns3:r>
          </ns3:e>
          <ns3:sub>
            <ns3:r>
              <ns3:t>c</ns3:t>
            </ns3:r>
          </ns3:sub>
          <ns3:sup>
            <ns3:r>
              <ns3:rPr>
                <ns3:sty ns3:val="p"/>
              </ns3:rPr>
              <ns3:t>*</ns3:t>
            </ns3:r>
          </ns3:sup>
        </ns3:sSubSup>
      </ns3:oMath>
      <w:r>
        <w:t xml:space="preserve"> </w:t>
      </w:r>
      <w:r>
        <w:t xml:space="preserve">is identifiable, the bandwidth-saturation account is rejected in favor of additive resource models. Ratio-based</w:t>
      </w:r>
      <w:r>
        <w:t xml:space="preserve"> </w:t>
      </w:r>
      <ns3:oMath>
        <ns3:r>
          <ns3:t>ρ</ns3:t>
        </ns3:r>
      </ns3:oMath>
      <w:r>
        <w:t xml:space="preserve"> </w:t>
      </w:r>
      <w:r>
        <w:t xml:space="preserve">results are reported as sensitivity checks.</w:t>
      </w:r>
    </w:p>
    <w:bookmarkEnd w:id="35"/>
    <w:bookmarkStart w:id="36" w:name="X26aa5f38e4c9ba5c7a2d8f21a4a19f730033206"/>
    <w:p>
      <w:pPr>
        <w:pStyle w:val="Heading3"/>
      </w:pPr>
      <w:r>
        <w:t xml:space="preserve">5.3 Hypothesis H-MET-01: Free Choice Metabolic Premium</w:t>
      </w:r>
    </w:p>
    <w:p>
      <w:pPr>
        <w:pStyle w:val="FirstParagraph"/>
      </w:pPr>
      <w:r>
        <w:rPr>
          <w:b/>
          <w:bCs/>
        </w:rPr>
        <w:t xml:space="preserve">Prediction.</w:t>
      </w:r>
      <w:r>
        <w:t xml:space="preserve"> </w:t>
      </w:r>
      <w:r>
        <w:t xml:space="preserve">Decisions that require overriding default or habitual responses — operationalized as choosing the counter-habitual option in a trained stimulus-response compatibility task — produce higher</w:t>
      </w:r>
      <w:r>
        <w:t xml:space="preserve"> </w:t>
      </w:r>
      <w:r>
        <w:rPr>
          <w:i/>
          <w:iCs/>
        </w:rPr>
        <w:t xml:space="preserve">autonomic control cost</w:t>
      </w:r>
      <w:r>
        <w:t xml:space="preserve"> </w:t>
      </w:r>
      <w:r>
        <w:t xml:space="preserve">(primary endpoint: SCR amplitude) than decisions aligned with trained responses, and this cost differential is predicted by the individual’s behavioral</w:t>
      </w:r>
      <w:r>
        <w:t xml:space="preserve"> </w:t>
      </w:r>
      <ns3:oMath>
        <ns3:sSub>
          <ns3:e>
            <ns3:r>
              <ns3:rPr>
                <ns3:sty ns3:val="p"/>
              </ns3:rPr>
              <ns3:t>Ψ</ns3:t>
            </ns3:r>
          </ns3:e>
          <ns3:sub>
            <ns3:r>
              <ns3:t>f</ns3:t>
            </ns3:r>
          </ns3:sub>
        </ns3:sSub>
      </ns3:oMath>
      <w:r>
        <w:t xml:space="preserve"> </w:t>
      </w:r>
      <w:r>
        <w:t xml:space="preserve">composite score. Blood glucose change is treated as a secondary exploratory endpoint because the glucose-specific ego-depletion mechanism remains contested (Baumeister et al., 1998; Hagger et al., 2016; Vadillo et al., 2016).</w:t>
      </w:r>
    </w:p>
    <w:p>
      <w:pPr>
        <w:pStyle w:val="BodyText"/>
      </w:pPr>
      <w:r>
        <w:rPr>
          <w:b/>
          <w:bCs/>
        </w:rPr>
        <w:t xml:space="preserve">Protocol.</w:t>
      </w:r>
      <w:r>
        <w:t xml:space="preserve"> </w:t>
      </w:r>
      <ns3:oMath>
        <ns3:r>
          <ns3:t>N</ns3:t>
        </ns3:r>
        <ns3:r>
          <ns3:rPr>
            <ns3:sty ns3:val="p"/>
          </ns3:rPr>
          <ns3:t>=</ns3:t>
        </ns3:r>
        <ns3:r>
          <ns3:t>60</ns3:t>
        </ns3:r>
      </ns3:oMath>
      <w:r>
        <w:t xml:space="preserve"> </w:t>
      </w:r>
      <w:r>
        <w:t xml:space="preserve">healthy adults. Phase 1 (training): participants learn a stimulus-response mapping over 200 trials. Phase 2 (test): on 50% of trials, participants are instructed to execute the</w:t>
      </w:r>
      <w:r>
        <w:t xml:space="preserve"> </w:t>
      </w:r>
      <w:r>
        <w:rPr>
          <w:i/>
          <w:iCs/>
        </w:rPr>
        <w:t xml:space="preserve">opposite</w:t>
      </w:r>
      <w:r>
        <w:t xml:space="preserve"> </w:t>
      </w:r>
      <w:r>
        <w:t xml:space="preserve">of their trained response. SCR is recorded continuously as the primary physiological endpoint; capillary blood glucose (pre/post Phase 2) is collected as a secondary exploratory endpoint. Behavioral</w:t>
      </w:r>
      <w:r>
        <w:t xml:space="preserve"> </w:t>
      </w:r>
      <ns3:oMath>
        <ns3:sSub>
          <ns3:e>
            <ns3:r>
              <ns3:rPr>
                <ns3:sty ns3:val="p"/>
              </ns3:rPr>
              <ns3:t>Ψ</ns3:t>
            </ns3:r>
          </ns3:e>
          <ns3:sub>
            <ns3:r>
              <ns3:t>f</ns3:t>
            </ns3:r>
          </ns3:sub>
        </ns3:sSub>
      </ns3:oMath>
      <w:r>
        <w:t xml:space="preserve"> </w:t>
      </w:r>
      <w:r>
        <w:t xml:space="preserve">composite is measured in a separate session.</w:t>
      </w:r>
    </w:p>
    <w:p>
      <w:pPr>
        <w:pStyle w:val="BodyText"/>
      </w:pPr>
      <w:r>
        <w:rPr>
          <w:b/>
          <w:bCs/>
        </w:rPr>
        <w:t xml:space="preserve">Falsification criterion.</w:t>
      </w:r>
      <w:r>
        <w:t xml:space="preserve"> </w:t>
      </w:r>
      <w:r>
        <w:t xml:space="preserve">If SCR amplitude does not differ between habitual and counter-habitual responses, or if the SCR difference shows no reliable relation to the</w:t>
      </w:r>
      <w:r>
        <w:t xml:space="preserve"> </w:t>
      </w:r>
      <ns3:oMath>
        <ns3:sSub>
          <ns3:e>
            <ns3:r>
              <ns3:rPr>
                <ns3:sty ns3:val="p"/>
              </ns3:rPr>
              <ns3:t>Ψ</ns3:t>
            </ns3:r>
          </ns3:e>
          <ns3:sub>
            <ns3:r>
              <ns3:t>f</ns3:t>
            </ns3:r>
          </ns3:sub>
        </ns3:sSub>
      </ns3:oMath>
      <w:r>
        <w:t xml:space="preserve"> </w:t>
      </w:r>
      <w:r>
        <w:t xml:space="preserve">composite, the primary metabolic-premium hypothesis is rejected. A null glucose effect alone does not falsify H-MET-01 but constrains substrate-level interpretations.</w:t>
      </w:r>
    </w:p>
    <w:bookmarkEnd w:id="36"/>
    <w:bookmarkStart w:id="37" w:name="X561e131874d1b28a5ca78150ec5d0f7bde3943b"/>
    <w:p>
      <w:pPr>
        <w:pStyle w:val="Heading3"/>
      </w:pPr>
      <w:r>
        <w:t xml:space="preserve">5.4 Hypothesis H-CLIN-DEP-01: ROS–</w:t>
      </w:r>
      <ns3:oMath>
        <ns3:sSub>
          <ns3:e>
            <ns3:r>
              <ns3:rPr>
                <ns3:sty ns3:val="p"/>
              </ns3:rPr>
              <ns3:t>Ψ</ns3:t>
            </ns3:r>
          </ns3:e>
          <ns3:sub>
            <ns3:r>
              <ns3:t>f</ns3:t>
            </ns3:r>
          </ns3:sub>
        </ns3:sSub>
      </ns3:oMath>
      <w:r>
        <w:t xml:space="preserve"> </w:t>
      </w:r>
      <w:r>
        <w:t xml:space="preserve">Coupling in Depression</w:t>
      </w:r>
    </w:p>
    <w:p>
      <w:pPr>
        <w:pStyle w:val="FirstParagraph"/>
      </w:pPr>
      <w:r>
        <w:rPr>
          <w:b/>
          <w:bCs/>
        </w:rPr>
        <w:t xml:space="preserve">Prediction.</w:t>
      </w:r>
      <w:r>
        <w:t xml:space="preserve"> </w:t>
      </w:r>
      <w:r>
        <w:t xml:space="preserve">In a sample of MDD patients (</w:t>
      </w:r>
      <ns3:oMath>
        <ns3:r>
          <ns3:t>n</ns3:t>
        </ns3:r>
        <ns3:r>
          <ns3:rPr>
            <ns3:sty ns3:val="p"/>
          </ns3:rPr>
          <ns3:t>=</ns3:t>
        </ns3:r>
        <ns3:r>
          <ns3:t>40</ns3:t>
        </ns3:r>
      </ns3:oMath>
      <w:r>
        <w:t xml:space="preserve">) and matched healthy controls (</w:t>
      </w:r>
      <ns3:oMath>
        <ns3:r>
          <ns3:t>n</ns3:t>
        </ns3:r>
        <ns3:r>
          <ns3:rPr>
            <ns3:sty ns3:val="p"/>
          </ns3:rPr>
          <ns3:t>=</ns3:t>
        </ns3:r>
        <ns3:r>
          <ns3:t>40</ns3:t>
        </ns3:r>
      </ns3:oMath>
      <w:r>
        <w:t xml:space="preserve">), the behavioral</w:t>
      </w:r>
      <w:r>
        <w:t xml:space="preserve"> </w:t>
      </w:r>
      <ns3:oMath>
        <ns3:sSub>
          <ns3:e>
            <ns3:r>
              <ns3:rPr>
                <ns3:sty ns3:val="p"/>
              </ns3:rPr>
              <ns3:t>Ψ</ns3:t>
            </ns3:r>
          </ns3:e>
          <ns3:sub>
            <ns3:r>
              <ns3:t>f</ns3:t>
            </ns3:r>
          </ns3:sub>
        </ns3:sSub>
      </ns3:oMath>
      <w:r>
        <w:t xml:space="preserve"> </w:t>
      </w:r>
      <w:r>
        <w:t xml:space="preserve">composite score predicts ROS biomarker levels (GSH/GSSG ratio) with a positive association of at least small-to-moderate magnitude in the MDD group. HRV mediation is tested as a compatibility model in cross-sectional data and is not interpreted as causal directionality.</w:t>
      </w:r>
    </w:p>
    <w:p>
      <w:pPr>
        <w:pStyle w:val="BodyText"/>
      </w:pPr>
      <w:r>
        <w:rPr>
          <w:b/>
          <w:bCs/>
        </w:rPr>
        <w:t xml:space="preserve">Protocol.</w:t>
      </w:r>
      <w:r>
        <w:t xml:space="preserve"> </w:t>
      </w:r>
      <w:r>
        <w:t xml:space="preserve">Cross-sectional comparison. Each participant completes the full behavioral task battery (§3.1), provides salivary cortisol and blood samples for ROS assays, and undergoes HRV recording. MDD diagnosis is confirmed via structured clinical interview (SCID-5). Predefined exclusion/covariate set includes acute inflammatory disease, systemic steroid or high-dose antioxidant use, unstable medical illness, substance dependence, antidepressant class/dose (e.g., SSRI/SNRI), illness duration, episode severity, anxiety comorbidity, and sleep-quality index.</w:t>
      </w:r>
    </w:p>
    <w:p>
      <w:pPr>
        <w:pStyle w:val="BodyText"/>
      </w:pPr>
      <w:r>
        <w:rPr>
          <w:b/>
          <w:bCs/>
        </w:rPr>
        <w:t xml:space="preserve">Falsification criterion.</w:t>
      </w:r>
      <w:r>
        <w:t xml:space="preserve"> </w:t>
      </w:r>
      <w:r>
        <w:t xml:space="preserve">If the</w:t>
      </w:r>
      <w:r>
        <w:t xml:space="preserve"> </w:t>
      </w:r>
      <ns3:oMath>
        <ns3:sSub>
          <ns3:e>
            <ns3:r>
              <ns3:rPr>
                <ns3:sty ns3:val="p"/>
              </ns3:rPr>
              <ns3:t>Ψ</ns3:t>
            </ns3:r>
          </ns3:e>
          <ns3:sub>
            <ns3:r>
              <ns3:t>f</ns3:t>
            </ns3:r>
          </ns3:sub>
        </ns3:sSub>
      </ns3:oMath>
      <w:r>
        <w:t xml:space="preserve"> </w:t>
      </w:r>
      <w:r>
        <w:t xml:space="preserve">composite–GSH/GSSG association is negligible in the MDD group, or if the HRV compatibility model contributes no interpretable structure, the ROS-friction coupling model is rejected for depression.</w:t>
      </w:r>
    </w:p>
    <w:bookmarkEnd w:id="37"/>
    <w:bookmarkStart w:id="38" w:name="X31e8c25e031be7c815bd586ddf5c1ac136cf3ff"/>
    <w:p>
      <w:pPr>
        <w:pStyle w:val="Heading3"/>
      </w:pPr>
      <w:r>
        <w:t xml:space="preserve">5.5 Hypothesis H-CLIN-OCD-01: Maximal</w:t>
      </w:r>
      <w:r>
        <w:t xml:space="preserve"> </w:t>
      </w:r>
      <ns3:oMath>
        <ns3:sSub>
          <ns3:e>
            <ns3:r>
              <ns3:t>μ</ns3:t>
            </ns3:r>
          </ns3:e>
          <ns3:sub>
            <ns3:r>
              <ns3:rPr>
                <ns3:nor/>
                <ns3:sty ns3:val="p"/>
              </ns3:rPr>
              <ns3:t>sem</ns3:t>
            </ns3:r>
          </ns3:sub>
        </ns3:sSub>
      </ns3:oMath>
      <w:r>
        <w:t xml:space="preserve"> </w:t>
      </w:r>
      <w:r>
        <w:t xml:space="preserve">in OCD</w:t>
      </w:r>
    </w:p>
    <w:p>
      <w:pPr>
        <w:pStyle w:val="FirstParagraph"/>
      </w:pPr>
      <w:r>
        <w:rPr>
          <w:b/>
          <w:bCs/>
        </w:rPr>
        <w:t xml:space="preserve">Prediction.</w:t>
      </w:r>
      <w:r>
        <w:t xml:space="preserve"> </w:t>
      </w:r>
      <w:r>
        <w:t xml:space="preserve">In a three-group comparison (OCD,</w:t>
      </w:r>
      <w:r>
        <w:t xml:space="preserve"> </w:t>
      </w:r>
      <ns3:oMath>
        <ns3:r>
          <ns3:t>n</ns3:t>
        </ns3:r>
        <ns3:r>
          <ns3:rPr>
            <ns3:sty ns3:val="p"/>
          </ns3:rPr>
          <ns3:t>=</ns3:t>
        </ns3:r>
        <ns3:r>
          <ns3:t>30</ns3:t>
        </ns3:r>
      </ns3:oMath>
      <w:r>
        <w:t xml:space="preserve">; MDD,</w:t>
      </w:r>
      <w:r>
        <w:t xml:space="preserve"> </w:t>
      </w:r>
      <ns3:oMath>
        <ns3:r>
          <ns3:t>n</ns3:t>
        </ns3:r>
        <ns3:r>
          <ns3:rPr>
            <ns3:sty ns3:val="p"/>
          </ns3:rPr>
          <ns3:t>=</ns3:t>
        </ns3:r>
        <ns3:r>
          <ns3:t>30</ns3:t>
        </ns3:r>
      </ns3:oMath>
      <w:r>
        <w:t xml:space="preserve">; healthy controls,</w:t>
      </w:r>
      <w:r>
        <w:t xml:space="preserve"> </w:t>
      </w:r>
      <ns3:oMath>
        <ns3:r>
          <ns3:t>n</ns3:t>
        </ns3:r>
        <ns3:r>
          <ns3:rPr>
            <ns3:sty ns3:val="p"/>
          </ns3:rPr>
          <ns3:t>=</ns3:t>
        </ns3:r>
        <ns3:r>
          <ns3:t>30</ns3:t>
        </ns3:r>
      </ns3:oMath>
      <w:r>
        <w:t xml:space="preserve">), the OCD group shows meaningfully higher</w:t>
      </w:r>
      <w:r>
        <w:t xml:space="preserve"> </w:t>
      </w:r>
      <ns3:oMath>
        <ns3:sSub>
          <ns3:e>
            <ns3:r>
              <ns3:t>μ</ns3:t>
            </ns3:r>
          </ns3:e>
          <ns3:sub>
            <ns3:r>
              <ns3:rPr>
                <ns3:nor/>
                <ns3:sty ns3:val="p"/>
              </ns3:rPr>
              <ns3:t>sem</ns3:t>
            </ns3:r>
          </ns3:sub>
        </ns3:sSub>
      </ns3:oMath>
      <w:r>
        <w:t xml:space="preserve"> </w:t>
      </w:r>
      <w:r>
        <w:t xml:space="preserve">than both MDD and control groups, driven specifically by elevated frequency of constraint modals.</w:t>
      </w:r>
    </w:p>
    <w:p>
      <w:pPr>
        <w:pStyle w:val="BodyText"/>
      </w:pPr>
      <w:r>
        <w:rPr>
          <w:b/>
          <w:bCs/>
        </w:rPr>
        <w:t xml:space="preserve">Protocol.</w:t>
      </w:r>
      <w:r>
        <w:t xml:space="preserve"> </w:t>
      </w:r>
      <w:r>
        <w:t xml:space="preserve">Each participant completes a 20-minute semi-structured clinical interview (using the Yale-Brown Obsessive Compulsive Scale for OCD group, Hamilton Depression Rating Scale for MDD group) plus a standardized free-narrative prompt (</w:t>
      </w:r>
      <w:r>
        <w:t xml:space="preserve">“Describe your daily routine and the challenges you face”</w:t>
      </w:r>
      <w:r>
        <w:t xml:space="preserve">). Transcripts are analyzed for</w:t>
      </w:r>
      <w:r>
        <w:t xml:space="preserve"> </w:t>
      </w:r>
      <ns3:oMath>
        <ns3:sSub>
          <ns3:e>
            <ns3:r>
              <ns3:t>μ</ns3:t>
            </ns3:r>
          </ns3:e>
          <ns3:sub>
            <ns3:r>
              <ns3:rPr>
                <ns3:nor/>
                <ns3:sty ns3:val="p"/>
              </ns3:rPr>
              <ns3:t>sem</ns3:t>
            </ns3:r>
          </ns3:sub>
        </ns3:sSub>
      </ns3:oMath>
      <w:r>
        <w:t xml:space="preserve">. Minimal adjustment set includes SSRI/antipsychotic augmentation status, benzodiazepine use, illness duration, anxiety and sleep comorbidity indices, and interviewer random effects.</w:t>
      </w:r>
    </w:p>
    <w:p>
      <w:pPr>
        <w:pStyle w:val="BodyText"/>
      </w:pPr>
      <w:r>
        <w:rPr>
          <w:b/>
          <w:bCs/>
        </w:rPr>
        <w:t xml:space="preserve">Falsification criterion.</w:t>
      </w:r>
      <w:r>
        <w:t xml:space="preserve"> </w:t>
      </w:r>
      <w:r>
        <w:t xml:space="preserve">If OCD</w:t>
      </w:r>
      <w:r>
        <w:t xml:space="preserve"> </w:t>
      </w:r>
      <ns3:oMath>
        <ns3:sSub>
          <ns3:e>
            <ns3:r>
              <ns3:t>μ</ns3:t>
            </ns3:r>
          </ns3:e>
          <ns3:sub>
            <ns3:r>
              <ns3:rPr>
                <ns3:nor/>
                <ns3:sty ns3:val="p"/>
              </ns3:rPr>
              <ns3:t>sem</ns3:t>
            </ns3:r>
          </ns3:sub>
        </ns3:sSub>
      </ns3:oMath>
      <w:r>
        <w:t xml:space="preserve"> </w:t>
      </w:r>
      <w:r>
        <w:t xml:space="preserve">does not reliably exceed healthy control</w:t>
      </w:r>
      <w:r>
        <w:t xml:space="preserve"> </w:t>
      </w:r>
      <ns3:oMath>
        <ns3:sSub>
          <ns3:e>
            <ns3:r>
              <ns3:t>μ</ns3:t>
            </ns3:r>
          </ns3:e>
          <ns3:sub>
            <ns3:r>
              <ns3:rPr>
                <ns3:nor/>
                <ns3:sty ns3:val="p"/>
              </ns3:rPr>
              <ns3:t>sem</ns3:t>
            </ns3:r>
          </ns3:sub>
        </ns3:sSub>
      </ns3:oMath>
      <w:r>
        <w:t xml:space="preserve">, the disorder-specific linguistic signature model is rejected.</w:t>
      </w:r>
    </w:p>
    <w:bookmarkEnd w:id="38"/>
    <w:bookmarkStart w:id="39" w:name="proposed-validation-roadmap"/>
    <w:p>
      <w:pPr>
        <w:pStyle w:val="Heading3"/>
      </w:pPr>
      <w:r>
        <w:t xml:space="preserve">5.6 Proposed Validation Roadmap</w:t>
      </w:r>
    </w:p>
    <w:p>
      <w:pPr>
        <w:pStyle w:val="FirstParagraph"/>
      </w:pPr>
      <w:r>
        <w:t xml:space="preserve">We propose a three-phase validation program:</w:t>
      </w:r>
    </w:p>
    <w:p>
      <w:pPr>
        <w:pStyle w:val="BodyText"/>
      </w:pPr>
      <w:r>
        <w:rPr>
          <w:b/>
          <w:bCs/>
        </w:rPr>
        <w:t xml:space="preserve">Phase 1 (core low-cost mechanism test).</w:t>
      </w:r>
      <w:r>
        <w:t xml:space="preserve"> </w:t>
      </w:r>
      <w:r>
        <w:t xml:space="preserve">Execute H72 and H-NEURO-EXEC-01 using behavioral tasks,</w:t>
      </w:r>
      <w:r>
        <w:t xml:space="preserve"> </w:t>
      </w:r>
      <ns3:oMath>
        <ns3:sSubSup>
          <ns3:e>
            <ns3:r>
              <ns3:t>μ</ns3:t>
            </ns3:r>
          </ns3:e>
          <ns3:sub>
            <ns3:r>
              <ns3:rPr>
                <ns3:nor/>
                <ns3:sty ns3:val="p"/>
              </ns3:rPr>
              <ns3:t>sem</ns3:t>
            </ns3:r>
          </ns3:sub>
          <ns3:sup>
            <ns3:r>
              <ns3:rPr>
                <ns3:nor/>
                <ns3:sty ns3:val="p"/>
              </ns3:rPr>
              <ns3:t>adj</ns3:t>
            </ns3:r>
          </ns3:sup>
        </ns3:sSubSup>
      </ns3:oMath>
      <w:r>
        <w:t xml:space="preserve">, HRV, and SCR. Objective: identify whether a stable latent</w:t>
      </w:r>
      <w:r>
        <w:t xml:space="preserve"> </w:t>
      </w:r>
      <ns3:oMath>
        <ns3:sSub>
          <ns3:e>
            <ns3:r>
              <ns3:rPr>
                <ns3:sty ns3:val="p"/>
              </ns3:rPr>
              <ns3:t>Ψ</ns3:t>
            </ns3:r>
          </ns3:e>
          <ns3:sub>
            <ns3:r>
              <ns3:t>f</ns3:t>
            </ns3:r>
          </ns3:sub>
        </ns3:sSub>
      </ns3:oMath>
      <w:r>
        <w:t xml:space="preserve"> </w:t>
      </w:r>
      <w:r>
        <w:t xml:space="preserve">factor and a measurable critical point</w:t>
      </w:r>
      <w:r>
        <w:t xml:space="preserve"> </w:t>
      </w:r>
      <ns3:oMath>
        <ns3:sSubSup>
          <ns3:e>
            <ns3:r>
              <ns3:t>ρ</ns3:t>
            </ns3:r>
          </ns3:e>
          <ns3:sub>
            <ns3:r>
              <ns3:t>c</ns3:t>
            </ns3:r>
          </ns3:sub>
          <ns3:sup>
            <ns3:r>
              <ns3:rPr>
                <ns3:sty ns3:val="p"/>
              </ns3:rPr>
              <ns3:t>*</ns3:t>
            </ns3:r>
          </ns3:sup>
        </ns3:sSubSup>
      </ns3:oMath>
      <w:r>
        <w:t xml:space="preserve"> </w:t>
      </w:r>
      <w:r>
        <w:t xml:space="preserve">exists in healthy cohorts (with ratio-based</w:t>
      </w:r>
      <w:r>
        <w:t xml:space="preserve"> </w:t>
      </w:r>
      <ns3:oMath>
        <ns3:sSub>
          <ns3:e>
            <ns3:r>
              <ns3:t>ρ</ns3:t>
            </ns3:r>
          </ns3:e>
          <ns3:sub>
            <ns3:r>
              <ns3:t>c</ns3:t>
            </ns3:r>
          </ns3:sub>
        </ns3:sSub>
      </ns3:oMath>
      <w:r>
        <w:t xml:space="preserve"> </w:t>
      </w:r>
      <w:r>
        <w:t xml:space="preserve">as sensitivity check).</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12 months.</w:t>
      </w:r>
    </w:p>
    <w:p>
      <w:pPr>
        <w:pStyle w:val="BodyText"/>
      </w:pPr>
      <w:r>
        <w:rPr>
          <w:b/>
          <w:bCs/>
        </w:rPr>
        <w:t xml:space="preserve">Phase 2 (core clinical generalization).</w:t>
      </w:r>
      <w:r>
        <w:t xml:space="preserve"> </w:t>
      </w:r>
      <w:r>
        <w:t xml:space="preserve">Execute H-CLIN-OCD-01 and H-MET-01 with the same low-cost core chain, extending to clinical and quasi-clinical groups while preserving protocol simplicity.</w:t>
      </w:r>
      <w:r>
        <w:t xml:space="preserve"> </w:t>
      </w:r>
      <ns3:oMath>
        <ns3:sSub>
          <ns3:e>
            <ns3:r>
              <ns3:t>N</ns3:t>
            </ns3:r>
          </ns3:e>
          <ns3:sub>
            <ns3:r>
              <ns3:rPr>
                <ns3:nor/>
                <ns3:sty ns3:val="p"/>
              </ns3:rPr>
              <ns3:t>total</ns3:t>
            </ns3:r>
          </ns3:sub>
        </ns3:sSub>
        <ns3:r>
          <ns3:rPr>
            <ns3:sty ns3:val="p"/>
          </ns3:rPr>
          <ns3:t>≈</ns3:t>
        </ns3:r>
        <ns3:r>
          <ns3:t>150</ns3:t>
        </ns3:r>
      </ns3:oMath>
      <w:r>
        <w:t xml:space="preserve">. Estimated timeline: 18 months.</w:t>
      </w:r>
    </w:p>
    <w:p>
      <w:pPr>
        <w:pStyle w:val="BodyText"/>
      </w:pPr>
      <w:r>
        <w:rPr>
          <w:b/>
          <w:bCs/>
        </w:rPr>
        <w:t xml:space="preserve">Phase 3 (high-cost optional adjudication).</w:t>
      </w:r>
      <w:r>
        <w:t xml:space="preserve"> </w:t>
      </w:r>
      <w:r>
        <w:t xml:space="preserve">Execute H-CLIN-DEP-01 with ROS assays and neural expansion markers (e.g., PCI, theta-gamma coupling, Fisher-geometry metrics) to test whether costly modalities add explanatory value beyond the core chain. These modalities are explicitly optional adjudicators, not prerequisites for validating the core model.</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24 months.</w:t>
      </w:r>
    </w:p>
    <w:p>
      <w:pPr>
        <w:pStyle w:val="BodyText"/>
      </w:pPr>
      <w:r>
        <w:t xml:space="preserve">At pre-registration release, the public repository will include: modal dictionaries by language, preprocessing/tokenization scripts, model-specification files (core and fallback), and simulation scripts used to justify decision thresholds.</w:t>
      </w:r>
    </w:p>
    <w:p>
      <w:pPr>
        <w:pStyle w:val="BodyText"/>
      </w:pPr>
      <w:r>
        <w:rPr>
          <w:i/>
          <w:iCs/>
        </w:rPr>
        <w:t xml:space="preserve">Insert Table 3 near here.</w:t>
      </w:r>
    </w:p>
    <w:p>
      <w:pPr>
        <w:pStyle w:val="BodyText"/>
      </w:pPr>
      <w:r>
        <w:t xml:space="preserve">Primary-endpoint decision rules: directional primary tests are one-sided (</w:t>
      </w:r>
      <ns3:oMath>
        <ns3:r>
          <ns3:t>α</ns3:t>
        </ns3:r>
        <ns3:r>
          <ns3:rPr>
            <ns3:sty ns3:val="p"/>
          </ns3:rPr>
          <ns3:t>=</ns3:t>
        </ns3:r>
        <ns3:r>
          <ns3:t>0.025</ns3:t>
        </ns3:r>
      </ns3:oMath>
      <w:r>
        <w:t xml:space="preserve">); secondary tests use Benjamini-Hochberg FDR control (</w:t>
      </w:r>
      <ns3:oMath>
        <ns3:r>
          <ns3:t>q</ns3:t>
        </ns3:r>
        <ns3:r>
          <ns3:rPr>
            <ns3:sty ns3:val="p"/>
          </ns3:rPr>
          <ns3:t>&lt;</ns3:t>
        </ns3:r>
        <ns3:r>
          <ns3:t>0.05</ns3:t>
        </ns3:r>
      </ns3:oMath>
      <w:r>
        <w:t xml:space="preserve">). Predefined primary endpoints are: H72 (context effect and incremental validity), H-NEURO-EXEC-01 (</w:t>
      </w:r>
      <ns3:oMath>
        <ns3:sSubSup>
          <ns3:e>
            <ns3:r>
              <ns3:t>ρ</ns3:t>
            </ns3:r>
          </ns3:e>
          <ns3:sub>
            <ns3:r>
              <ns3:t>c</ns3:t>
            </ns3:r>
          </ns3:sub>
          <ns3:sup>
            <ns3:r>
              <ns3:rPr>
                <ns3:sty ns3:val="p"/>
              </ns3:rPr>
              <ns3:t>*</ns3:t>
            </ns3:r>
          </ns3:sup>
        </ns3:sSubSup>
      </ns3:oMath>
      <w:r>
        <w:t xml:space="preserve"> </w:t>
      </w:r>
      <w:r>
        <w:t xml:space="preserve">identification), H-MET-01 (SCR contrast), H-CLIN-OCD-01 (group contrast on</w:t>
      </w:r>
      <w:r>
        <w:t xml:space="preserve"> </w:t>
      </w:r>
      <ns3:oMath>
        <ns3:sSub>
          <ns3:e>
            <ns3:r>
              <ns3:t>μ</ns3:t>
            </ns3:r>
          </ns3:e>
          <ns3:sub>
            <ns3:r>
              <ns3:rPr>
                <ns3:nor/>
                <ns3:sty ns3:val="p"/>
              </ns3:rPr>
              <ns3:t>sem</ns3:t>
            </ns3:r>
          </ns3:sub>
        </ns3:sSub>
      </ns3:oMath>
      <w:r>
        <w:t xml:space="preserve">), and H-CLIN-DEP-01 (</w:t>
      </w:r>
      <ns3:oMath>
        <ns3:sSub>
          <ns3:e>
            <ns3:r>
              <ns3:rPr>
                <ns3:sty ns3:val="p"/>
              </ns3:rPr>
              <ns3:t>Ψ</ns3:t>
            </ns3:r>
          </ns3:e>
          <ns3:sub>
            <ns3:r>
              <ns3:t>f</ns3:t>
            </ns3:r>
          </ns3:sub>
        </ns3:sSub>
      </ns3:oMath>
      <w:r>
        <w:t xml:space="preserve">-ROS association). Ratio-based</w:t>
      </w:r>
      <w:r>
        <w:t xml:space="preserve"> </w:t>
      </w:r>
      <ns3:oMath>
        <ns3:r>
          <ns3:t>ρ</ns3:t>
        </ns3:r>
      </ns3:oMath>
      <w:r>
        <w:t xml:space="preserve"> </w:t>
      </w:r>
      <w:r>
        <w:t xml:space="preserve">inference is explicitly sensitivity-only.</w:t>
      </w:r>
    </w:p>
    <w:p>
      <w:pPr>
        <w:pStyle w:val="BodyText"/>
      </w:pPr>
      <w:r>
        <w:t xml:space="preserve">The one-sided choice is justified by preregistered directional monotonic predictions implied by Equations (4), (5), and (7); all primary effects are also reported with two-sided sensitivity analyses. Exact small-effect cutoffs, model-selection tolerances, and simulation-based design anchors are intended to be fixed in the public preregistration and accompanying scripts before data collection, rather than treated as universal constants in the present theory paper.</w:t>
      </w:r>
    </w:p>
    <w:p>
      <w:pPr>
        <w:pStyle w:val="BodyText"/>
      </w:pPr>
      <w:r>
        <w:rPr>
          <w:i/>
          <w:iCs/>
        </w:rPr>
        <w:t xml:space="preserve">Insert Figure 5 near here.</w:t>
      </w:r>
    </w:p>
    <w:p>
      <w:r>
        <w:pict>
          <ns1:rect style="width:0;height:1.5pt" ns2:hralign="center" ns2:hrstd="t" ns2:hr="t"/>
        </w:pict>
      </w:r>
    </w:p>
    <w:bookmarkEnd w:id="39"/>
    <w:bookmarkEnd w:id="40"/>
    <w:bookmarkStart w:id="47" w:name="discussion"/>
    <w:p>
      <w:pPr>
        <w:pStyle w:val="Heading2"/>
      </w:pPr>
      <w:r>
        <w:t xml:space="preserve">6. Discussion</w:t>
      </w:r>
    </w:p>
    <w:bookmarkStart w:id="41" w:name="theoretical-implications"/>
    <w:p>
      <w:pPr>
        <w:pStyle w:val="Heading3"/>
      </w:pPr>
      <w:r>
        <w:t xml:space="preserve">6.1 Theoretical Implications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addresses a persistent gap in cognitive neuroscience: the absence of a cross-modal cost quantity that unifies behavioral, physiological, neural, and linguistic signatures of executive breakdown under a formal selection-budget constraint. By deriving the knowing–doing gap as bandwidth saturation (Equation 7) rather than as a domain-specific failure, the framework generates testable predictions that current models — cognitive load theory, FEP, IIT, allostatic load — do not individually produce.</w:t>
      </w:r>
    </w:p>
    <w:p>
      <w:pPr>
        <w:pStyle w:val="BodyText"/>
      </w:pPr>
      <w:r>
        <w:t xml:space="preserve">The key theoretical advance is the</w:t>
      </w:r>
      <w:r>
        <w:t xml:space="preserve"> </w:t>
      </w:r>
      <w:r>
        <w:rPr>
          <w:i/>
          <w:iCs/>
        </w:rPr>
        <w:t xml:space="preserve">decoupling of knowledge from capacity</w:t>
      </w:r>
      <w:r>
        <w:t xml:space="preserve">. In existing frameworks, executive failure is typically attributed to degraded representations (the agent doesn’t know), degraded attention (the agent can’t focus), or degraded motivation (the agent doesn’t want to). The</w:t>
      </w:r>
      <w:r>
        <w:t xml:space="preserve"> </w:t>
      </w:r>
      <ns3:oMath>
        <ns3:sSub>
          <ns3:e>
            <ns3:r>
              <ns3:rPr>
                <ns3:sty ns3:val="p"/>
              </ns3:rPr>
              <ns3:t>Ψ</ns3:t>
            </ns3:r>
          </ns3:e>
          <ns3:sub>
            <ns3:r>
              <ns3:t>f</ns3:t>
            </ns3:r>
          </ns3:sub>
        </ns3:sSub>
      </ns3:oMath>
      <w:r>
        <w:t xml:space="preserve"> </w:t>
      </w:r>
      <w:r>
        <w:t xml:space="preserve">framework introduces a fourth possibility: the agent knows, can focus, and wants to act, but the</w:t>
      </w:r>
      <w:r>
        <w:t xml:space="preserve"> </w:t>
      </w:r>
      <w:r>
        <w:rPr>
          <w:i/>
          <w:iCs/>
        </w:rPr>
        <w:t xml:space="preserve">cost of converting knowledge into action</w:t>
      </w:r>
      <w:r>
        <w:t xml:space="preserve"> </w:t>
      </w:r>
      <w:r>
        <w:t xml:space="preserve">exceeds available resources. This bandwidth saturation account explains why patients often report the phenomenology of</w:t>
      </w:r>
      <w:r>
        <w:t xml:space="preserve"> </w:t>
      </w:r>
      <w:r>
        <w:t xml:space="preserve">“knowing exactly what to do but being unable to do it”</w:t>
      </w:r>
      <w:r>
        <w:t xml:space="preserve"> </w:t>
      </w:r>
      <w:r>
        <w:t xml:space="preserve">— a subjective experience that is puzzling under representational, attentional, or motivational accounts.</w:t>
      </w:r>
    </w:p>
    <w:bookmarkEnd w:id="41"/>
    <w:bookmarkStart w:id="42" w:name="comparison-with-existing-frameworks"/>
    <w:p>
      <w:pPr>
        <w:pStyle w:val="Heading3"/>
      </w:pPr>
      <w:r>
        <w:t xml:space="preserve">6.2 Comparison with Existing Frameworks</w:t>
      </w:r>
    </w:p>
    <w:p>
      <w:pPr>
        <w:pStyle w:val="FirstParagraph"/>
      </w:pPr>
      <w:r>
        <w:t xml:space="preserve">Table 4 compares</w:t>
      </w:r>
      <w:r>
        <w:t xml:space="preserve"> </w:t>
      </w:r>
      <ns3:oMath>
        <ns3:sSub>
          <ns3:e>
            <ns3:r>
              <ns3:rPr>
                <ns3:sty ns3:val="p"/>
              </ns3:rPr>
              <ns3:t>Ψ</ns3:t>
            </ns3:r>
          </ns3:e>
          <ns3:sub>
            <ns3:r>
              <ns3:t>f</ns3:t>
            </ns3:r>
          </ns3:sub>
        </ns3:sSub>
      </ns3:oMath>
      <w:r>
        <w:t xml:space="preserve"> </w:t>
      </w:r>
      <w:r>
        <w:t xml:space="preserve">with five existing frameworks across seven evaluation criteria.</w:t>
      </w:r>
    </w:p>
    <w:p>
      <w:pPr>
        <w:pStyle w:val="BodyText"/>
      </w:pPr>
      <w:r>
        <w:rPr>
          <w:i/>
          <w:iCs/>
        </w:rPr>
        <w:t xml:space="preserve">Insert Table 4 near here.</w:t>
      </w:r>
    </w:p>
    <w:p>
      <w:pPr>
        <w:pStyle w:val="BodyText"/>
      </w:pPr>
      <w:r>
        <w:t xml:space="preserve">This comparison is not intended to argue that</w:t>
      </w:r>
      <w:r>
        <w:t xml:space="preserve"> </w:t>
      </w:r>
      <ns3:oMath>
        <ns3:sSub>
          <ns3:e>
            <ns3:r>
              <ns3:rPr>
                <ns3:sty ns3:val="p"/>
              </ns3:rPr>
              <ns3:t>Ψ</ns3:t>
            </ns3:r>
          </ns3:e>
          <ns3:sub>
            <ns3:r>
              <ns3:t>f</ns3:t>
            </ns3:r>
          </ns3:sub>
        </ns3:sSub>
      </ns3:oMath>
      <w:r>
        <w:t xml:space="preserve"> </w:t>
      </w:r>
      <w:r>
        <w:t xml:space="preserve">replaces existing frameworks. Rather,</w:t>
      </w:r>
      <w:r>
        <w:t xml:space="preserve"> </w:t>
      </w:r>
      <ns3:oMath>
        <ns3:sSub>
          <ns3:e>
            <ns3:r>
              <ns3:rPr>
                <ns3:sty ns3:val="p"/>
              </ns3:rPr>
              <ns3:t>Ψ</ns3:t>
            </ns3:r>
          </ns3:e>
          <ns3:sub>
            <ns3:r>
              <ns3:t>f</ns3:t>
            </ns3:r>
          </ns3:sub>
        </ns3:sSub>
      </ns3:oMath>
      <w:r>
        <w:t xml:space="preserve"> </w:t>
      </w:r>
      <w:r>
        <w:t xml:space="preserve">can be understood as a generalization that subsumes aspects of each: it includes cognitive load as a behavioral special case, allostatic load as a physiological special case, and variational complexity as an information-theoretic special case, while adding explicit cross-modal latent modeling and dissociation predictions.</w:t>
      </w:r>
    </w:p>
    <w:p>
      <w:pPr>
        <w:pStyle w:val="BodyText"/>
      </w:pPr>
      <w:r>
        <w:t xml:space="preserve">Relative to the Expected Value of Control (EVC) framework (Shenhav et al., 2013; Shenhav et al., 2017),</w:t>
      </w:r>
      <w:r>
        <w:t xml:space="preserve"> </w:t>
      </w:r>
      <ns3:oMath>
        <ns3:sSub>
          <ns3:e>
            <ns3:r>
              <ns3:rPr>
                <ns3:sty ns3:val="p"/>
              </ns3:rPr>
              <ns3:t>Ψ</ns3:t>
            </ns3:r>
          </ns3:e>
          <ns3:sub>
            <ns3:r>
              <ns3:t>f</ns3:t>
            </ns3:r>
          </ns3:sub>
        </ns3:sSub>
      </ns3:oMath>
      <w:r>
        <w:t xml:space="preserve"> </w:t>
      </w:r>
      <w:r>
        <w:t xml:space="preserve">is closest to a transmodal control-cost extension. Both treat control as a cost-constrained process, and EVC’s effort-cost term and</w:t>
      </w:r>
      <w:r>
        <w:t xml:space="preserve"> </w:t>
      </w:r>
      <ns3:oMath>
        <ns3:sSub>
          <ns3:e>
            <ns3:r>
              <ns3:rPr>
                <ns3:sty ns3:val="p"/>
              </ns3:rPr>
              <ns3:t>Ψ</ns3:t>
            </ns3:r>
          </ns3:e>
          <ns3:sub>
            <ns3:r>
              <ns3:t>f</ns3:t>
            </ns3:r>
          </ns3:sub>
        </ns3:sSub>
      </ns3:oMath>
      <w:r>
        <w:t xml:space="preserve">’s control-energy integral (Eq. 3c) share formal structure. However, the two frameworks diverge on three points that generate distinguishable predictions:</w:t>
      </w:r>
    </w:p>
    <w:p>
      <w:pPr>
        <w:pStyle w:val="BodyText"/>
      </w:pPr>
      <w:r>
        <w:t xml:space="preserve">First, EVC is typically fitted to single-task demand allocations (e.g., proportion congruent effects in Stroop), whereas</w:t>
      </w:r>
      <w:r>
        <w:t xml:space="preserve"> </w:t>
      </w:r>
      <ns3:oMath>
        <ns3:sSub>
          <ns3:e>
            <ns3:r>
              <ns3:rPr>
                <ns3:sty ns3:val="p"/>
              </ns3:rPr>
              <ns3:t>Ψ</ns3:t>
            </ns3:r>
          </ns3:e>
          <ns3:sub>
            <ns3:r>
              <ns3:t>f</ns3:t>
            </ns3:r>
          </ns3:sub>
        </ns3:sSub>
      </ns3:oMath>
      <w:r>
        <w:t xml:space="preserve"> </w:t>
      </w:r>
      <w:r>
        <w:t xml:space="preserve">accumulates</w:t>
      </w:r>
      <w:r>
        <w:t xml:space="preserve"> </w:t>
      </w:r>
      <w:r>
        <w:rPr>
          <w:i/>
          <w:iCs/>
        </w:rPr>
        <w:t xml:space="preserve">across</w:t>
      </w:r>
      <w:r>
        <w:t xml:space="preserve"> </w:t>
      </w:r>
      <w:r>
        <w:t xml:space="preserve">tasks and modalities within a session and predicts a</w:t>
      </w:r>
      <w:r>
        <w:t xml:space="preserve"> </w:t>
      </w:r>
      <w:r>
        <w:rPr>
          <w:i/>
          <w:iCs/>
        </w:rPr>
        <w:t xml:space="preserve">nonlinear</w:t>
      </w:r>
      <w:r>
        <w:t xml:space="preserve"> </w:t>
      </w:r>
      <w:r>
        <w:t xml:space="preserve">saturation transition (</w:t>
      </w:r>
      <ns3:oMath>
        <ns3:sSub>
          <ns3:e>
            <ns3:r>
              <ns3:t>ρ</ns3:t>
            </ns3:r>
          </ns3:e>
          <ns3:sub>
            <ns3:r>
              <ns3:t>c</ns3:t>
            </ns3:r>
          </ns3:sub>
        </ns3:sSub>
      </ns3:oMath>
      <w:r>
        <w:t xml:space="preserve">) that standard EVC cost functions do not produce. A concrete illustration: under EVC, adding concurrent cognitive load to a task-switching paradigm increases effort cost approximately additively; under</w:t>
      </w:r>
      <w:r>
        <w:t xml:space="preserve"> </w:t>
      </w:r>
      <ns3:oMath>
        <ns3:sSub>
          <ns3:e>
            <ns3:r>
              <ns3:rPr>
                <ns3:sty ns3:val="p"/>
              </ns3:rPr>
              <ns3:t>Ψ</ns3:t>
            </ns3:r>
          </ns3:e>
          <ns3:sub>
            <ns3:r>
              <ns3:t>f</ns3:t>
            </ns3:r>
          </ns3:sub>
        </ns3:sSub>
      </ns3:oMath>
      <w:r>
        <w:t xml:space="preserve">, load accumulates toward a critical point beyond which switch cost accelerates nonlinearly (Eq. 7b). If segmented-regression analyses in H-NEURO-EXEC-01 show that the linear (additive) model fits as well as the changepoint model, the saturation component of</w:t>
      </w:r>
      <w:r>
        <w:t xml:space="preserve"> </w:t>
      </w:r>
      <ns3:oMath>
        <ns3:sSub>
          <ns3:e>
            <ns3:r>
              <ns3:rPr>
                <ns3:sty ns3:val="p"/>
              </ns3:rPr>
              <ns3:t>Ψ</ns3:t>
            </ns3:r>
          </ns3:e>
          <ns3:sub>
            <ns3:r>
              <ns3:t>f</ns3:t>
            </ns3:r>
          </ns3:sub>
        </ns3:sSub>
      </ns3:oMath>
      <w:r>
        <w:t xml:space="preserve"> </w:t>
      </w:r>
      <w:r>
        <w:t xml:space="preserve">is rejected (Table 5), effectively reducing</w:t>
      </w:r>
      <w:r>
        <w:t xml:space="preserve"> </w:t>
      </w:r>
      <ns3:oMath>
        <ns3:sSub>
          <ns3:e>
            <ns3:r>
              <ns3:rPr>
                <ns3:sty ns3:val="p"/>
              </ns3:rPr>
              <ns3:t>Ψ</ns3:t>
            </ns3:r>
          </ns3:e>
          <ns3:sub>
            <ns3:r>
              <ns3:t>f</ns3:t>
            </ns3:r>
          </ns3:sub>
        </ns3:sSub>
      </ns3:oMath>
      <w:r>
        <w:t xml:space="preserve"> </w:t>
      </w:r>
      <w:r>
        <w:t xml:space="preserve">to an EVC-compatible additive formulation.</w:t>
      </w:r>
    </w:p>
    <w:p>
      <w:pPr>
        <w:pStyle w:val="BodyText"/>
      </w:pPr>
      <w:r>
        <w:t xml:space="preserve">Second, EVC does not natively generate</w:t>
      </w:r>
      <w:r>
        <w:t xml:space="preserve"> </w:t>
      </w:r>
      <w:r>
        <w:rPr>
          <w:i/>
          <w:iCs/>
        </w:rPr>
        <w:t xml:space="preserve">cross-domain dissociation</w:t>
      </w:r>
      <w:r>
        <w:t xml:space="preserve"> </w:t>
      </w:r>
      <w:r>
        <w:t xml:space="preserve">predictions of the kind central to the</w:t>
      </w:r>
      <w:r>
        <w:t xml:space="preserve"> </w:t>
      </w:r>
      <ns3:oMath>
        <ns3:sSub>
          <ns3:e>
            <ns3:r>
              <ns3:rPr>
                <ns3:sty ns3:val="p"/>
              </ns3:rPr>
              <ns3:t>Ψ</ns3:t>
            </ns3:r>
          </ns3:e>
          <ns3:sub>
            <ns3:r>
              <ns3:t>f</ns3:t>
            </ns3:r>
          </ns3:sub>
        </ns3:sSub>
      </ns3:oMath>
      <w:r>
        <w:t xml:space="preserve"> </w:t>
      </w:r>
      <w:r>
        <w:t xml:space="preserve">clinical mapping. For example, the joint prediction that OCD patients show the highest</w:t>
      </w:r>
      <w:r>
        <w:t xml:space="preserve"> </w:t>
      </w:r>
      <ns3:oMath>
        <ns3:sSub>
          <ns3:e>
            <ns3:r>
              <ns3:t>μ</ns3:t>
            </ns3:r>
          </ns3:e>
          <ns3:sub>
            <ns3:r>
              <ns3:rPr>
                <ns3:nor/>
                <ns3:sty ns3:val="p"/>
              </ns3:rPr>
              <ns3:t>sem</ns3:t>
            </ns3:r>
          </ns3:sub>
        </ns3:sSub>
      </ns3:oMath>
      <w:r>
        <w:t xml:space="preserve"> </w:t>
      </w:r>
      <w:r>
        <w:t xml:space="preserve">(linguistic domain) while PCI remains near control range (neural domain) is a two-channel dissociation that EVC, as currently specified, does not address because it lacks a linguistic output channel and a cross-modal latent structure.</w:t>
      </w:r>
    </w:p>
    <w:p>
      <w:pPr>
        <w:pStyle w:val="BodyText"/>
      </w:pPr>
      <w:r>
        <w:t xml:space="preserve">Third, EVC models control allocation within a trial or block but does not formally incorporate</w:t>
      </w:r>
      <w:r>
        <w:t xml:space="preserve"> </w:t>
      </w:r>
      <w:r>
        <w:rPr>
          <w:i/>
          <w:iCs/>
        </w:rPr>
        <w:t xml:space="preserve">slow-constraint dynamics</w:t>
      </w:r>
      <w:r>
        <w:t xml:space="preserve"> </w:t>
      </w:r>
      <w:r>
        <w:t xml:space="preserve">(Eq. B1, Appendix B) governing habit formation, belief revision, and therapeutic change over weeks to months.</w:t>
      </w:r>
    </w:p>
    <w:p>
      <w:pPr>
        <w:pStyle w:val="BodyText"/>
      </w:pPr>
      <w:r>
        <w:t xml:space="preserve">These distinctions do not make EVC wrong — they mark scope boundaries. If future EVC extensions incorporate cross-modal indicators, nonlinear saturation, and slow dynamics, the two frameworks may converge. The present contribution is that</w:t>
      </w:r>
      <w:r>
        <w:t xml:space="preserve"> </w:t>
      </w:r>
      <ns3:oMath>
        <ns3:sSub>
          <ns3:e>
            <ns3:r>
              <ns3:rPr>
                <ns3:sty ns3:val="p"/>
              </ns3:rPr>
              <ns3:t>Ψ</ns3:t>
            </ns3:r>
          </ns3:e>
          <ns3:sub>
            <ns3:r>
              <ns3:t>f</ns3:t>
            </ns3:r>
          </ns3:sub>
        </ns3:sSub>
      </ns3:oMath>
      <w:r>
        <w:t xml:space="preserve"> </w:t>
      </w:r>
      <w:r>
        <w:t xml:space="preserve">provides this integration now in a testable form. This positioning is consistent with computational psychiatry goals of mechanistic yet clinically testable bridges (Huys et al., 2016).</w:t>
      </w:r>
    </w:p>
    <w:bookmarkEnd w:id="42"/>
    <w:bookmarkStart w:id="43" w:name="limitations-and-boundary-conditions"/>
    <w:p>
      <w:pPr>
        <w:pStyle w:val="Heading3"/>
      </w:pPr>
      <w:r>
        <w:t xml:space="preserve">6.3 Limitations and Boundary Conditions</w:t>
      </w:r>
    </w:p>
    <w:p>
      <w:pPr>
        <w:pStyle w:val="FirstParagraph"/>
      </w:pPr>
      <w:r>
        <w:t xml:space="preserve">Several important limitations must be acknowledged.</w:t>
      </w:r>
    </w:p>
    <w:p>
      <w:pPr>
        <w:pStyle w:val="BodyText"/>
      </w:pPr>
      <w:r>
        <w:t xml:space="preserve">First,</w:t>
      </w:r>
      <w:r>
        <w:t xml:space="preserve"> </w:t>
      </w:r>
      <ns3:oMath>
        <ns3:sSub>
          <ns3:e>
            <ns3:r>
              <ns3:rPr>
                <ns3:sty ns3:val="p"/>
              </ns3:rPr>
              <ns3:t>Ψ</ns3:t>
            </ns3:r>
          </ns3:e>
          <ns3:sub>
            <ns3:r>
              <ns3:t>f</ns3:t>
            </ns3:r>
          </ns3:sub>
        </ns3:sSub>
      </ns3:oMath>
      <w:r>
        <w:t xml:space="preserve"> </w:t>
      </w:r>
      <w:r>
        <w:t xml:space="preserve">is a</w:t>
      </w:r>
      <w:r>
        <w:t xml:space="preserve"> </w:t>
      </w:r>
      <w:r>
        <w:rPr>
          <w:i/>
          <w:iCs/>
        </w:rPr>
        <w:t xml:space="preserve">latent construct</w:t>
      </w:r>
      <w:r>
        <w:t xml:space="preserve"> </w:t>
      </w:r>
      <w:r>
        <w:t xml:space="preserve">inferred from multiple indicators. No single measure is sufficient, and the convergent validity of the four proxy classes is an empirical claim that remains to be tested. If the structural equation model (§3.5) fails to support a single-factor solution, the framework requires fundamental revision.</w:t>
      </w:r>
    </w:p>
    <w:p>
      <w:pPr>
        <w:pStyle w:val="BodyText"/>
      </w:pPr>
      <w:r>
        <w:t xml:space="preserve">Second, the modal verb probe (</w:t>
      </w:r>
      <ns3:oMath>
        <ns3:sSub>
          <ns3:e>
            <ns3:r>
              <ns3:t>μ</ns3:t>
            </ns3:r>
          </ns3:e>
          <ns3:sub>
            <ns3:r>
              <ns3:rPr>
                <ns3:nor/>
                <ns3:sty ns3:val="p"/>
              </ns3:rPr>
              <ns3:t>sem</ns3:t>
            </ns3:r>
          </ns3:sub>
        </ns3:sSub>
      </ns3:oMath>
      <w:r>
        <w:t xml:space="preserve">) may be</w:t>
      </w:r>
      <w:r>
        <w:t xml:space="preserve"> </w:t>
      </w:r>
      <w:r>
        <w:rPr>
          <w:i/>
          <w:iCs/>
        </w:rPr>
        <w:t xml:space="preserve">language-specific</w:t>
      </w:r>
      <w:r>
        <w:t xml:space="preserve">. The inventory of modal verbs and their semantic valence varies across languages (Palmer, 2001), and the constraint/possibility distinction may not partition cleanly in all linguistic systems. Cross-linguistic validation with Mandarin Chinese, German, and Arabic modal systems is a necessary follow-up.</w:t>
      </w:r>
    </w:p>
    <w:p>
      <w:pPr>
        <w:pStyle w:val="BodyText"/>
      </w:pPr>
      <w:r>
        <w:t xml:space="preserve">Third, distress and pain are</w:t>
      </w:r>
      <w:r>
        <w:t xml:space="preserve"> </w:t>
      </w:r>
      <w:r>
        <w:rPr>
          <w:i/>
          <w:iCs/>
        </w:rPr>
        <w:t xml:space="preserve">not</w:t>
      </w:r>
      <w:r>
        <w:t xml:space="preserve"> </w:t>
      </w:r>
      <w:r>
        <w:t xml:space="preserve">assumed to be generated solely by control cost. Equation (4) is a conditional hazard model; nociceptive injury, social threat, affective dysregulation, and appraisal shifts can all elevate distress even when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is modest. This is why we model a hazard family with smoothing and appraisal terms rather than a one-to-one derivative identity.</w:t>
      </w:r>
    </w:p>
    <w:p>
      <w:pPr>
        <w:pStyle w:val="BodyText"/>
      </w:pPr>
      <w:r>
        <w:t xml:space="preserve">Fourth, the ROS coupling hypothesis (Equation 9) requires</w:t>
      </w:r>
      <w:r>
        <w:t xml:space="preserve"> </w:t>
      </w:r>
      <w:r>
        <w:rPr>
          <w:i/>
          <w:iCs/>
        </w:rPr>
        <w:t xml:space="preserve">longitudinal data</w:t>
      </w:r>
      <w:r>
        <w:t xml:space="preserve"> </w:t>
      </w:r>
      <w:r>
        <w:t xml:space="preserve">to establish temporal precedence. A cross-sectional correlation between</w:t>
      </w:r>
      <w:r>
        <w:t xml:space="preserve"> </w:t>
      </w:r>
      <ns3:oMath>
        <ns3:sSub>
          <ns3:e>
            <ns3:r>
              <ns3:rPr>
                <ns3:sty ns3:val="p"/>
              </ns3:rPr>
              <ns3:t>Ψ</ns3:t>
            </ns3:r>
          </ns3:e>
          <ns3:sub>
            <ns3:r>
              <ns3:t>f</ns3:t>
            </ns3:r>
          </ns3:sub>
        </ns3:sSub>
      </ns3:oMath>
      <w:r>
        <w:t xml:space="preserve"> </w:t>
      </w:r>
      <w:r>
        <w:t xml:space="preserve">and ROS markers, while consistent with the model, does not establish directionality. Prospective designs and intervention studies (manipulating</w:t>
      </w:r>
      <w:r>
        <w:t xml:space="preserve"> </w:t>
      </w:r>
      <ns3:oMath>
        <ns3:sSub>
          <ns3:e>
            <ns3:r>
              <ns3:rPr>
                <ns3:sty ns3:val="p"/>
              </ns3:rPr>
              <ns3:t>Ψ</ns3:t>
            </ns3:r>
          </ns3:e>
          <ns3:sub>
            <ns3:r>
              <ns3:t>f</ns3:t>
            </ns3:r>
          </ns3:sub>
        </ns3:sSub>
      </ns3:oMath>
      <w:r>
        <w:t xml:space="preserve"> </w:t>
      </w:r>
      <w:r>
        <w:t xml:space="preserve">and measuring ROS change) are essential.</w:t>
      </w:r>
    </w:p>
    <w:p>
      <w:pPr>
        <w:pStyle w:val="BodyText"/>
      </w:pPr>
      <w:r>
        <w:t xml:space="preserve">Fifth, the equations presented (Equations 3a–5, plus Eq. B1 in Appendix B) use simplified functional forms. In particular, the control-cost quadratic form in Equation (3c), the KL form in Equation (3d), and its local Fisher approximation in Equation (3d’) are modeling choices, not identifiability guarantees. The precise friction-cost shape (quadratic, piecewise, exponential, or sigmoidal) remains an empirical question.</w:t>
      </w:r>
    </w:p>
    <w:p>
      <w:pPr>
        <w:pStyle w:val="BodyText"/>
      </w:pPr>
      <w:r>
        <w:t xml:space="preserve">Sixth, the framework is</w:t>
      </w:r>
      <w:r>
        <w:t xml:space="preserve"> </w:t>
      </w:r>
      <w:r>
        <w:rPr>
          <w:i/>
          <w:iCs/>
        </w:rPr>
        <w:t xml:space="preserve">silent on the hard problem of consciousness</w:t>
      </w:r>
      <w:r>
        <w:t xml:space="preserve"> </w:t>
      </w:r>
      <w:r>
        <w:t xml:space="preserve">in the Chalmersian sense (Chalmers, 1995).</w:t>
      </w:r>
      <w:r>
        <w:t xml:space="preserve"> </w:t>
      </w:r>
      <ns3:oMath>
        <ns3:sSub>
          <ns3:e>
            <ns3:r>
              <ns3:rPr>
                <ns3:sty ns3:val="p"/>
              </ns3:rPr>
              <ns3:t>Ψ</ns3:t>
            </ns3:r>
          </ns3:e>
          <ns3:sub>
            <ns3:r>
              <ns3:t>f</ns3:t>
            </ns3:r>
          </ns3:sub>
        </ns3:sSub>
      </ns3:oMath>
      <w:r>
        <w:t xml:space="preserve"> </w:t>
      </w:r>
      <w:r>
        <w:t xml:space="preserve">provides a measurable correlate of the cost of maintaining conscious states, but it does not explain</w:t>
      </w:r>
      <w:r>
        <w:t xml:space="preserve"> </w:t>
      </w:r>
      <w:r>
        <w:rPr>
          <w:i/>
          <w:iCs/>
        </w:rPr>
        <w:t xml:space="preserve">why</w:t>
      </w:r>
      <w:r>
        <w:t xml:space="preserve"> </w:t>
      </w:r>
      <w:r>
        <w:t xml:space="preserve">subjective experience accompanies high-friction processing. We view this as an appropriate scope limitation rather than a deficiency.</w:t>
      </w:r>
    </w:p>
    <w:p>
      <w:pPr>
        <w:pStyle w:val="BodyText"/>
      </w:pPr>
      <w:r>
        <w:t xml:space="preserve">Seventh, this paper reports</w:t>
      </w:r>
      <w:r>
        <w:t xml:space="preserve"> </w:t>
      </w:r>
      <w:r>
        <w:rPr>
          <w:i/>
          <w:iCs/>
        </w:rPr>
        <w:t xml:space="preserve">no empirical data</w:t>
      </w:r>
      <w:r>
        <w:t xml:space="preserve">. While we have specified protocols with sufficient detail for pre-registration and replication, the entire framework remains at the stage of theoretical proposal until the validation program (§5.6) is executed.</w:t>
      </w:r>
    </w:p>
    <w:bookmarkEnd w:id="43"/>
    <w:bookmarkStart w:id="44" w:name="alternative-models-and-decisive-tests"/>
    <w:p>
      <w:pPr>
        <w:pStyle w:val="Heading3"/>
      </w:pPr>
      <w:r>
        <w:t xml:space="preserve">6.4 Alternative Models and Decisive Tests</w:t>
      </w:r>
    </w:p>
    <w:p>
      <w:pPr>
        <w:pStyle w:val="FirstParagraph"/>
      </w:pPr>
      <w:r>
        <w:t xml:space="preserve">The framework is designed to be partially rejectable rather than all-or-none. Key adjudication rules are:</w:t>
      </w:r>
    </w:p>
    <w:p>
      <w:pPr>
        <w:pStyle w:val="Compact"/>
        <w:numPr>
          <w:ilvl w:val="0"/>
          <w:numId w:val="1006"/>
        </w:numPr>
      </w:pPr>
      <w:r>
        <w:t xml:space="preserve">If linear models consistently outperform changepoint models, reject the saturation component (Eq. 7b) while retaining additive control-cost formulations.</w:t>
      </w:r>
    </w:p>
    <w:p>
      <w:pPr>
        <w:pStyle w:val="Compact"/>
        <w:numPr>
          <w:ilvl w:val="0"/>
          <w:numId w:val="1006"/>
        </w:numPr>
      </w:pPr>
      <w:r>
        <w:t xml:space="preserve">If cross-modal convergence fails (between-domain correlations uniformly</w:t>
      </w:r>
      <w:r>
        <w:t xml:space="preserve"> </w:t>
      </w:r>
      <ns3:oMath>
        <ns3:r>
          <ns3:rPr>
            <ns3:sty ns3:val="p"/>
          </ns3:rPr>
          <ns3:t>&lt;</ns3:t>
        </ns3:r>
        <ns3:r>
          <ns3:t>0.15</ns3:t>
        </ns3:r>
      </ns3:oMath>
      <w:r>
        <w:t xml:space="preserve">), reject the single latent-factor claim and move to domain-specific modules.</w:t>
      </w:r>
    </w:p>
    <w:p>
      <w:pPr>
        <w:pStyle w:val="Compact"/>
        <w:numPr>
          <w:ilvl w:val="0"/>
          <w:numId w:val="1006"/>
        </w:numPr>
      </w:pPr>
      <w:r>
        <w:t xml:space="preserve">If</w:t>
      </w:r>
      <w:r>
        <w:t xml:space="preserve"> </w:t>
      </w:r>
      <ns3:oMath>
        <ns3:sSub>
          <ns3:e>
            <ns3:r>
              <ns3:t>μ</ns3:t>
            </ns3:r>
          </ns3:e>
          <ns3:sub>
            <ns3:r>
              <ns3:rPr>
                <ns3:nor/>
                <ns3:sty ns3:val="p"/>
              </ns3:rPr>
              <ns3:t>sem</ns3:t>
            </ns3:r>
          </ns3:sub>
        </ns3:sSub>
      </ns3:oMath>
      <w:r>
        <w:t xml:space="preserve"> </w:t>
      </w:r>
      <w:r>
        <w:t xml:space="preserve">lacks context sensitivity or incremental validity, remove the linguistic probe from the core chain and retain behavioral-physiological modeling.</w:t>
      </w:r>
    </w:p>
    <w:p>
      <w:pPr>
        <w:pStyle w:val="Compact"/>
        <w:numPr>
          <w:ilvl w:val="0"/>
          <w:numId w:val="1006"/>
        </w:numPr>
      </w:pPr>
      <w:r>
        <w:t xml:space="preserve">If optional expansion markers (ROS/PCI/Fisher) do not add predictive value, retain the core chain and demote expansion markers to exploratory status.</w:t>
      </w:r>
    </w:p>
    <w:p>
      <w:pPr>
        <w:pStyle w:val="FirstParagraph"/>
      </w:pPr>
      <w:r>
        <w:t xml:space="preserve">These outcomes define explicit model-pruning pathways and prevent post hoc theory protection.</w:t>
      </w:r>
    </w:p>
    <w:p>
      <w:pPr>
        <w:pStyle w:val="BodyText"/>
      </w:pPr>
      <w:r>
        <w:rPr>
          <w:i/>
          <w:iCs/>
        </w:rPr>
        <w:t xml:space="preserve">Insert Table 5 near here.</w:t>
      </w:r>
    </w:p>
    <w:bookmarkEnd w:id="44"/>
    <w:bookmarkStart w:id="45" w:name="translational-potential"/>
    <w:p>
      <w:pPr>
        <w:pStyle w:val="Heading3"/>
      </w:pPr>
      <w:r>
        <w:t xml:space="preserve">6.5 Translational Potential</w:t>
      </w:r>
    </w:p>
    <w:p>
      <w:pPr>
        <w:pStyle w:val="FirstParagraph"/>
      </w:pPr>
      <w:r>
        <w:t xml:space="preserve">If empirically validated, the</w:t>
      </w:r>
      <w:r>
        <w:t xml:space="preserve"> </w:t>
      </w:r>
      <ns3:oMath>
        <ns3:sSub>
          <ns3:e>
            <ns3:r>
              <ns3:rPr>
                <ns3:sty ns3:val="p"/>
              </ns3:rPr>
              <ns3:t>Ψ</ns3:t>
            </ns3:r>
          </ns3:e>
          <ns3:sub>
            <ns3:r>
              <ns3:t>f</ns3:t>
            </ns3:r>
          </ns3:sub>
        </ns3:sSub>
      </ns3:oMath>
      <w:r>
        <w:t xml:space="preserve"> </w:t>
      </w:r>
      <w:r>
        <w:t xml:space="preserve">framework offers several translational applications.</w:t>
      </w:r>
    </w:p>
    <w:p>
      <w:pPr>
        <w:pStyle w:val="BodyText"/>
      </w:pPr>
      <w:r>
        <w:rPr>
          <w:b/>
          <w:bCs/>
        </w:rPr>
        <w:t xml:space="preserve">Transdiagnostic biomarker.</w:t>
      </w:r>
      <w:r>
        <w:t xml:space="preserve"> </w:t>
      </w:r>
      <w:r>
        <w:t xml:space="preserve">The friction signature profiles (Table 2) could enable a biologically grounded, transdiagnostic classification of executive dysfunction that cuts across traditional categorical diagnoses.</w:t>
      </w:r>
    </w:p>
    <w:p>
      <w:pPr>
        <w:pStyle w:val="BodyText"/>
      </w:pPr>
      <w:r>
        <w:rPr>
          <w:b/>
          <w:bCs/>
        </w:rPr>
        <w:t xml:space="preserve">Passive linguistic monitoring.</w:t>
      </w:r>
      <w:r>
        <w:t xml:space="preserve"> </w:t>
      </w:r>
      <ns3:oMath>
        <ns3:sSub>
          <ns3:e>
            <ns3:r>
              <ns3:t>μ</ns3:t>
            </ns3:r>
          </ns3:e>
          <ns3:sub>
            <ns3:r>
              <ns3:rPr>
                <ns3:nor/>
                <ns3:sty ns3:val="p"/>
              </ns3:rPr>
              <ns3:t>sem</ns3:t>
            </ns3:r>
          </ns3:sub>
        </ns3:sSub>
      </ns3:oMath>
      <w:r>
        <w:t xml:space="preserve"> </w:t>
      </w:r>
      <w:r>
        <w:t xml:space="preserve">can be extracted from clinical interview transcripts, therapy session recordings, or — with appropriate consent and ethical oversight — naturalistic text data. This enables longitudinal</w:t>
      </w:r>
      <w:r>
        <w:t xml:space="preserve"> </w:t>
      </w:r>
      <ns3:oMath>
        <ns3:sSub>
          <ns3:e>
            <ns3:r>
              <ns3:rPr>
                <ns3:sty ns3:val="p"/>
              </ns3:rPr>
              <ns3:t>Ψ</ns3:t>
            </ns3:r>
          </ns3:e>
          <ns3:sub>
            <ns3:r>
              <ns3:t>f</ns3:t>
            </ns3:r>
          </ns3:sub>
        </ns3:sSub>
      </ns3:oMath>
      <w:r>
        <w:t xml:space="preserve"> </w:t>
      </w:r>
      <w:r>
        <w:t xml:space="preserve">tracking without additional testing burden.</w:t>
      </w:r>
    </w:p>
    <w:p>
      <w:pPr>
        <w:pStyle w:val="BodyText"/>
      </w:pPr>
      <w:r>
        <w:rPr>
          <w:b/>
          <w:bCs/>
        </w:rPr>
        <w:t xml:space="preserve">Treatment response prediction.</w:t>
      </w:r>
      <w:r>
        <w:t xml:space="preserve"> </w:t>
      </w:r>
      <w:r>
        <w:t xml:space="preserve">Therapeutic interventions can be modeled as either reducing</w:t>
      </w:r>
      <w:r>
        <w:t xml:space="preserve"> </w:t>
      </w:r>
      <ns3:oMath>
        <ns3:sSub>
          <ns3:e>
            <ns3:r>
              <ns3:rPr>
                <ns3:sty ns3:val="p"/>
              </ns3:rPr>
              <ns3:t>Ψ</ns3:t>
            </ns3:r>
          </ns3:e>
          <ns3:sub>
            <ns3:r>
              <ns3:t>f</ns3:t>
            </ns3:r>
          </ns3:sub>
        </ns3:sSub>
      </ns3:oMath>
      <w:r>
        <w:t xml:space="preserve"> </w:t>
      </w:r>
      <w:r>
        <w:t xml:space="preserve">(pharmacological approaches targeting the friction cost) or increasing</w:t>
      </w:r>
      <w:r>
        <w:t xml:space="preserve"> </w:t>
      </w:r>
      <ns3:oMath>
        <ns3:sSub>
          <ns3:e>
            <ns3:r>
              <ns3:t>P</ns3:t>
            </ns3:r>
          </ns3:e>
          <ns3:sub>
            <ns3:r>
              <ns3:rPr>
                <ns3:nor/>
                <ns3:sty ns3:val="p"/>
              </ns3:rPr>
              <ns3:t>sel</ns3:t>
            </ns3:r>
          </ns3:sub>
        </ns3:sSub>
      </ns3:oMath>
      <w:r>
        <w:t xml:space="preserve"> </w:t>
      </w:r>
      <w:r>
        <w:t xml:space="preserve">(behavioral approaches expanding selection power capacity). The</w:t>
      </w:r>
      <w:r>
        <w:t xml:space="preserve"> </w:t>
      </w:r>
      <ns3:oMath>
        <ns3:sSub>
          <ns3:e>
            <ns3:r>
              <ns3:rPr>
                <ns3:sty ns3:val="p"/>
              </ns3:rPr>
              <ns3:t>Ψ</ns3:t>
            </ns3:r>
          </ns3:e>
          <ns3:sub>
            <ns3:r>
              <ns3:t>f</ns3:t>
            </ns3:r>
          </ns3:sub>
        </ns3:sSub>
      </ns3:oMath>
      <w:r>
        <w:t xml:space="preserve"> </w:t>
      </w:r>
      <w:r>
        <w:t xml:space="preserve">trajectory over treatment could serve as an early indicator of therapeutic response, potentially outperforming symptom-based monitoring.</w:t>
      </w:r>
    </w:p>
    <w:p>
      <w:pPr>
        <w:pStyle w:val="BodyText"/>
      </w:pPr>
      <w:r>
        <w:rPr>
          <w:b/>
          <w:bCs/>
        </w:rPr>
        <w:t xml:space="preserve">Intervention design.</w:t>
      </w:r>
      <w:r>
        <w:t xml:space="preserve"> </w:t>
      </w:r>
      <w:r>
        <w:t xml:space="preserve">The distinction between</w:t>
      </w:r>
      <w:r>
        <w:t xml:space="preserve"> </w:t>
      </w:r>
      <ns3:oMath>
        <ns3:sSub>
          <ns3:e>
            <ns3:r>
              <ns3:rPr>
                <ns3:sty ns3:val="p"/>
              </ns3:rPr>
              <ns3:t>Ψ</ns3:t>
            </ns3:r>
          </ns3:e>
          <ns3:sub>
            <ns3:r>
              <ns3:t>f</ns3:t>
            </ns3:r>
          </ns3:sub>
        </ns3:sSub>
      </ns3:oMath>
      <w:r>
        <w:t xml:space="preserve"> </w:t>
      </w:r>
      <w:r>
        <w:t xml:space="preserve">reduction and</w:t>
      </w:r>
      <w:r>
        <w:t xml:space="preserve"> </w:t>
      </w:r>
      <ns3:oMath>
        <ns3:sSub>
          <ns3:e>
            <ns3:r>
              <ns3:t>P</ns3:t>
            </ns3:r>
          </ns3:e>
          <ns3:sub>
            <ns3:r>
              <ns3:rPr>
                <ns3:nor/>
                <ns3:sty ns3:val="p"/>
              </ns3:rPr>
              <ns3:t>sel</ns3:t>
            </ns3:r>
          </ns3:sub>
        </ns3:sSub>
      </ns3:oMath>
      <w:r>
        <w:t xml:space="preserve"> </w:t>
      </w:r>
      <w:r>
        <w:t xml:space="preserve">expansion suggests that combination therapies — pairing pharmacological</w:t>
      </w:r>
      <w:r>
        <w:t xml:space="preserve"> </w:t>
      </w:r>
      <ns3:oMath>
        <ns3:sSub>
          <ns3:e>
            <ns3:r>
              <ns3:rPr>
                <ns3:sty ns3:val="p"/>
              </ns3:rPr>
              <ns3:t>Ψ</ns3:t>
            </ns3:r>
          </ns3:e>
          <ns3:sub>
            <ns3:r>
              <ns3:t>f</ns3:t>
            </ns3:r>
          </ns3:sub>
        </ns3:sSub>
      </ns3:oMath>
      <w:r>
        <w:t xml:space="preserve"> </w:t>
      </w:r>
      <w:r>
        <w:t xml:space="preserve">reduction with behavioral</w:t>
      </w:r>
      <w:r>
        <w:t xml:space="preserve"> </w:t>
      </w:r>
      <ns3:oMath>
        <ns3:sSub>
          <ns3:e>
            <ns3:r>
              <ns3:t>P</ns3:t>
            </ns3:r>
          </ns3:e>
          <ns3:sub>
            <ns3:r>
              <ns3:rPr>
                <ns3:nor/>
                <ns3:sty ns3:val="p"/>
              </ns3:rPr>
              <ns3:t>sel</ns3:t>
            </ns3:r>
          </ns3:sub>
        </ns3:sSub>
      </ns3:oMath>
      <w:r>
        <w:t xml:space="preserve"> </w:t>
      </w:r>
      <w:r>
        <w:t xml:space="preserve">training — should show synergistic effects quantifiable as:</w:t>
      </w:r>
    </w:p>
    <w:p>
      <w:pPr>
        <w:pStyle w:val="BodyText"/>
      </w:pPr>
      <ns3:oMathPara>
        <ns3:oMathParaPr>
          <ns3:jc ns3:val="center"/>
        </ns3:oMathParaPr>
        <ns3:oMath>
          <ns3:r>
            <ns3:rPr>
              <ns3:sty ns3:val="p"/>
            </ns3:rPr>
            <ns3:t>Δ</ns3:t>
          </ns3:r>
          <ns3:sSub>
            <ns3:e>
              <ns3:r>
                <ns3:t>S</ns3:t>
              </ns3:r>
            </ns3:e>
            <ns3:sub>
              <ns3:r>
                <ns3:rPr>
                  <ns3:nor/>
                  <ns3:sty ns3:val="p"/>
                </ns3:rPr>
                <ns3:t>sync</ns3:t>
              </ns3:r>
            </ns3:sub>
          </ns3:sSub>
          <ns3:r>
            <ns3:rPr>
              <ns3:sty ns3:val="p"/>
            </ns3:rPr>
            <ns3:t>=</ns3:t>
          </ns3:r>
          <ns3:r>
            <ns3:rPr>
              <ns3:sty ns3:val="p"/>
            </ns3:rPr>
            <ns3:t>Δ</ns3:t>
          </ns3:r>
          <ns3:r>
            <ns3:t>d</ns3:t>
          </ns3:r>
          <ns3:r>
            <ns3:rPr>
              <ns3:sty ns3:val="p"/>
            </ns3:rPr>
            <ns3:t>⋅</ns3:t>
          </ns3:r>
          <ns3:r>
            <ns3:rPr>
              <ns3:sty ns3:val="p"/>
            </ns3:rPr>
            <ns3:t>(</ns3:t>
          </ns3:r>
          <ns3:r>
            <ns3:rPr>
              <ns3:sty ns3:val="p"/>
            </ns3:rPr>
            <ns3:t>−</ns3:t>
          </ns3:r>
          <ns3:r>
            <ns3:rPr>
              <ns3:sty ns3:val="p"/>
            </ns3:rPr>
            <ns3:t>Δ</ns3:t>
          </ns3:r>
          <ns3:sSub>
            <ns3:e>
              <ns3:r>
                <ns3:rPr>
                  <ns3:sty ns3:val="p"/>
                </ns3:rPr>
                <ns3:t>Ψ</ns3:t>
              </ns3:r>
            </ns3:e>
            <ns3:sub>
              <ns3:r>
                <ns3:t>f</ns3:t>
              </ns3:r>
            </ns3:sub>
          </ns3:sSub>
          <ns3:r>
            <ns3:rPr>
              <ns3:sty ns3:val="p"/>
            </ns3:rPr>
            <ns3:t>)</ns3:t>
          </ns3:r>
          <ns3:r>
            <ns3:rPr>
              <ns3:sty ns3:val="p"/>
            </ns3:rPr>
            <ns3:t>&gt;</ns3:t>
          </ns3:r>
          <ns3:r>
            <ns3:t>0</ns3:t>
          </ns3:r>
        </ns3:oMath>
      </ns3:oMathPara>
    </w:p>
    <w:p>
      <w:pPr>
        <w:pStyle w:val="FirstParagraph"/>
      </w:pPr>
      <w:r>
        <w:t xml:space="preserve">where a positive synergy metric indicates genuine cross-domain recovery rather than compensation.</w:t>
      </w:r>
    </w:p>
    <w:p>
      <w:r>
        <w:pict>
          <ns1:rect style="width:0;height:1.5pt" ns2:hralign="center" ns2:hrstd="t" ns2:hr="t"/>
        </w:pict>
      </w:r>
    </w:p>
    <w:bookmarkEnd w:id="45"/>
    <w:bookmarkStart w:id="46" w:name="conclusion"/>
    <w:p>
      <w:pPr>
        <w:pStyle w:val="Heading3"/>
      </w:pPr>
      <w:r>
        <w:t xml:space="preserve">6.6 Conclusion</w:t>
      </w:r>
    </w:p>
    <w:p>
      <w:pPr>
        <w:pStyle w:val="FirstParagraph"/>
      </w:pPr>
      <w:r>
        <w:t xml:space="preserve">We have introduced executive friction (</w:t>
      </w:r>
      <ns3:oMath>
        <ns3:sSub>
          <ns3:e>
            <ns3:r>
              <ns3:rPr>
                <ns3:sty ns3:val="p"/>
              </ns3:rPr>
              <ns3:t>Ψ</ns3:t>
            </ns3:r>
          </ns3:e>
          <ns3:sub>
            <ns3:r>
              <ns3:t>f</ns3:t>
            </ns3:r>
          </ns3:sub>
        </ns3:sSub>
      </ns3:oMath>
      <w:r>
        <w:t xml:space="preserve">) as a formally defined, cross-modally operationalizable construct that transforms the control cost of maintaining or switching an active state against baseline defaults into a testable framework for cognitive and clinical dynamics. The construct is grounded in core equations that specify friction accumulation (Eqs. 3a–3d’), the hazard function for subjective distress (Eq. 4), the selection-budget inequality (Eq. 5), and the dynamics of parameter evolution (Eq. B1). We have operationalized</w:t>
      </w:r>
      <w:r>
        <w:t xml:space="preserve"> </w:t>
      </w:r>
      <ns3:oMath>
        <ns3:sSub>
          <ns3:e>
            <ns3:r>
              <ns3:rPr>
                <ns3:sty ns3:val="p"/>
              </ns3:rPr>
              <ns3:t>Ψ</ns3:t>
            </ns3:r>
          </ns3:e>
          <ns3:sub>
            <ns3:r>
              <ns3:t>f</ns3:t>
            </ns3:r>
          </ns3:sub>
        </ns3:sSub>
      </ns3:oMath>
      <w:r>
        <w:t xml:space="preserve"> </w:t>
      </w:r>
      <w:r>
        <w:t xml:space="preserve">through four convergent proxy classes — behavioral, physiological, neural, and linguistic — and demonstrated how the knowing–doing gap emerges as bandwidth saturation when friction cost exceeds available selection power.</w:t>
      </w:r>
    </w:p>
    <w:p>
      <w:pPr>
        <w:pStyle w:val="BodyText"/>
      </w:pPr>
      <w:r>
        <w:t xml:space="preserve">The clinical mapping onto major depressive disorder, obsessive-compulsive disorder, and Parkinson’s disease generates disorder-specific, falsifiable predictions (Table 2) that distinguish the</w:t>
      </w:r>
      <w:r>
        <w:t xml:space="preserve"> </w:t>
      </w:r>
      <ns3:oMath>
        <ns3:sSub>
          <ns3:e>
            <ns3:r>
              <ns3:rPr>
                <ns3:sty ns3:val="p"/>
              </ns3:rPr>
              <ns3:t>Ψ</ns3:t>
            </ns3:r>
          </ns3:e>
          <ns3:sub>
            <ns3:r>
              <ns3:t>f</ns3:t>
            </ns3:r>
          </ns3:sub>
        </ns3:sSub>
      </ns3:oMath>
      <w:r>
        <w:t xml:space="preserve"> </w:t>
      </w:r>
      <w:r>
        <w:t xml:space="preserve">account from generic executive dysfunction descriptions. Five pre-registration-ready hypotheses with explicit falsification criteria and a three-phase validation roadmap provide the experimental architecture for systematic testing.</w:t>
      </w:r>
    </w:p>
    <w:p>
      <w:pPr>
        <w:pStyle w:val="BodyText"/>
      </w:pPr>
      <w:r>
        <w:t xml:space="preserve">The knowing–doing gap is not merely a clinical curiosity but a window into the control-cost structure of agency. Every act of will — from suppressing a craving to overriding a prejudice to initiating a motor sequence — incurs executive friction. Understanding this cost, measuring it, and learning to modulate it may prove to be consequential for cognitive neuroscience, clinical science, and biomarker-driven translational work.</w:t>
      </w:r>
    </w:p>
    <w:p>
      <w:r>
        <w:pict>
          <ns1:rect style="width:0;height:1.5pt" ns2:hralign="center" ns2:hrstd="t" ns2:hr="t"/>
        </w:pict>
      </w:r>
    </w:p>
    <w:bookmarkEnd w:id="46"/>
    <w:bookmarkEnd w:id="47"/>
    <w:bookmarkStart w:id="48" w:name="X7adfb76a6e957e9e3188cd8936cce2c1e3f97a1"/>
    <w:p>
      <w:pPr>
        <w:pStyle w:val="Heading2"/>
      </w:pPr>
      <w:r>
        <w:t xml:space="preserve">Appendix A. Optional Symbol Mapping and Background Citation</w:t>
      </w:r>
    </w:p>
    <w:p>
      <w:pPr>
        <w:pStyle w:val="FirstParagraph"/>
      </w:pPr>
      <w:r>
        <w:t xml:space="preserve">The core model in this manuscript can be read entirely in standard control/predictive-processing language. For readers who prefer compact symbols, the optional shorthand is:</w:t>
      </w:r>
    </w:p>
    <w:p>
      <w:pPr>
        <w:pStyle w:val="Compact"/>
        <w:numPr>
          <w:ilvl w:val="0"/>
          <w:numId w:val="1007"/>
        </w:numPr>
      </w:pPr>
      <ns3:oMath>
        <ns3:r>
          <ns3:rPr>
            <ns3:sty ns3:val="p"/>
          </ns3:rPr>
          <ns3:t>Π</ns3:t>
        </ns3:r>
      </ns3:oMath>
      <w:r>
        <w:t xml:space="preserve"> </w:t>
      </w:r>
      <w:r>
        <w:t xml:space="preserve">-&gt; candidate state/policy space</w:t>
      </w:r>
    </w:p>
    <w:p>
      <w:pPr>
        <w:pStyle w:val="Compact"/>
        <w:numPr>
          <w:ilvl w:val="0"/>
          <w:numId w:val="1007"/>
        </w:numPr>
      </w:pPr>
      <ns3:oMath>
        <ns3:sSub>
          <ns3:e>
            <ns3:r>
              <ns3:t>x</ns3:t>
            </ns3:r>
          </ns3:e>
          <ns3:sub>
            <ns3:r>
              <ns3:rPr>
                <ns3:nor/>
                <ns3:sty ns3:val="p"/>
              </ns3:rPr>
              <ns3:t>act</ns3:t>
            </ns3:r>
          </ns3:sub>
        </ns3:sSub>
      </ns3:oMath>
      <w:r>
        <w:t xml:space="preserve"> </w:t>
      </w:r>
      <w:r>
        <w:t xml:space="preserve">-&gt; currently executed active state</w:t>
      </w:r>
    </w:p>
    <w:p>
      <w:pPr>
        <w:pStyle w:val="Compact"/>
        <w:numPr>
          <w:ilvl w:val="0"/>
          <w:numId w:val="1007"/>
        </w:numPr>
      </w:pPr>
      <ns3:oMath>
        <ns3:r>
          <ns3:t>z</ns3:t>
        </ns3:r>
      </ns3:oMath>
      <w:r>
        <w:t xml:space="preserve"> </w:t>
      </w:r>
      <w:r>
        <w:t xml:space="preserve">-&gt; slow prior/habit/hyperprior constraints</w:t>
      </w:r>
    </w:p>
    <w:p>
      <w:pPr>
        <w:pStyle w:val="Compact"/>
        <w:numPr>
          <w:ilvl w:val="0"/>
          <w:numId w:val="1007"/>
        </w:numPr>
      </w:pPr>
      <ns3:oMath>
        <ns3:sSub>
          <ns3:e>
            <ns3:r>
              <ns3:rPr>
                <ns3:sty ns3:val="p"/>
              </ns3:rPr>
              <ns3:t>Select</ns3:t>
            </ns3:r>
          </ns3:e>
          <ns3:sub>
            <ns3:r>
              <ns3:t>θ</ns3:t>
            </ns3:r>
          </ns3:sub>
        </ns3:sSub>
      </ns3:oMath>
      <w:r>
        <w:t xml:space="preserve"> </w:t>
      </w:r>
      <w:r>
        <w:t xml:space="preserve">-&gt; resource-bounded selection or gating map</w:t>
      </w:r>
    </w:p>
    <w:p>
      <w:pPr>
        <w:pStyle w:val="Compact"/>
        <w:numPr>
          <w:ilvl w:val="0"/>
          <w:numId w:val="1007"/>
        </w:numPr>
      </w:pPr>
      <ns3:oMath>
        <ns3:sSub>
          <ns3:e>
            <ns3:r>
              <ns3:rPr>
                <ns3:sty ns3:val="p"/>
              </ns3:rPr>
              <ns3:t>Ψ</ns3:t>
            </ns3:r>
          </ns3:e>
          <ns3:sub>
            <ns3:r>
              <ns3:t>f</ns3:t>
            </ns3:r>
          </ns3:sub>
        </ns3:sSub>
      </ns3:oMath>
      <w:r>
        <w:t xml:space="preserve"> </w:t>
      </w:r>
      <w:r>
        <w:t xml:space="preserve">-&gt; latent control cost</w:t>
      </w:r>
    </w:p>
    <w:p>
      <w:pPr>
        <w:pStyle w:val="Compact"/>
        <w:numPr>
          <w:ilvl w:val="0"/>
          <w:numId w:val="1007"/>
        </w:numPr>
      </w:pPr>
      <ns3:oMath>
        <ns3:sSub>
          <ns3:e>
            <ns3:r>
              <ns3:t>P</ns3:t>
            </ns3:r>
          </ns3:e>
          <ns3:sub>
            <ns3:r>
              <ns3:rPr>
                <ns3:nor/>
                <ns3:sty ns3:val="p"/>
              </ns3:rPr>
              <ns3:t>sel</ns3:t>
            </ns3:r>
          </ns3:sub>
        </ns3:sSub>
      </ns3:oMath>
      <w:r>
        <w:t xml:space="preserve"> </w:t>
      </w:r>
      <w:r>
        <w:t xml:space="preserve">-&gt; available control budget</w:t>
      </w:r>
    </w:p>
    <w:p>
      <w:pPr>
        <w:pStyle w:val="Compact"/>
        <w:numPr>
          <w:ilvl w:val="0"/>
          <w:numId w:val="1007"/>
        </w:numPr>
      </w:pPr>
      <ns3:oMath>
        <ns3:sSub>
          <ns3:e>
            <ns3:r>
              <ns3:t>S</ns3:t>
            </ns3:r>
          </ns3:e>
          <ns3:sub>
            <ns3:r>
              <ns3:rPr>
                <ns3:nor/>
                <ns3:sty ns3:val="p"/>
              </ns3:rPr>
              <ns3:t>noise</ns3:t>
            </ns3:r>
          </ns3:sub>
        </ns3:sSub>
      </ns3:oMath>
      <w:r>
        <w:t xml:space="preserve"> </w:t>
      </w:r>
      <w:r>
        <w:t xml:space="preserve">-&gt; exogenous or environmental uncertainty load</w:t>
      </w:r>
    </w:p>
    <w:p>
      <w:pPr>
        <w:pStyle w:val="FirstParagraph"/>
      </w:pPr>
      <w:r>
        <w:t xml:space="preserve">No commitment to any broader framework is required for evaluating this manuscript’s equations, hypotheses, or falsification logic; all claims are self-contained and independently testable. The present paper uses the empirically neutral label</w:t>
      </w:r>
      <w:r>
        <w:t xml:space="preserve"> </w:t>
      </w:r>
      <w:r>
        <w:t xml:space="preserve">“executive friction”</w:t>
      </w:r>
      <w:r>
        <w:t xml:space="preserve"> </w:t>
      </w:r>
      <w:r>
        <w:t xml:space="preserve">throughout and treats Appendix A as optional notation support rather than as a gateway to a larger philosophical system.</w:t>
      </w:r>
    </w:p>
    <w:p>
      <w:r>
        <w:pict>
          <ns1:rect style="width:0;height:1.5pt" ns2:hralign="center" ns2:hrstd="t" ns2:hr="t"/>
        </w:pict>
      </w:r>
    </w:p>
    <w:bookmarkEnd w:id="48"/>
    <w:bookmarkStart w:id="49" w:name="Xb5998718af623700345cf66707dec45d7b573e8"/>
    <w:p>
      <w:pPr>
        <w:pStyle w:val="Heading2"/>
      </w:pPr>
      <w:r>
        <w:t xml:space="preserve">Appendix B. Parameter Dynamics Equation (Slow Timescale)</w:t>
      </w:r>
    </w:p>
    <w:p>
      <w:pPr>
        <w:pStyle w:val="FirstParagraph"/>
      </w:pPr>
      <w:r>
        <w:t xml:space="preserve">The embodiment parameters</w:t>
      </w:r>
      <w:r>
        <w:t xml:space="preserve"> </w:t>
      </w:r>
      <ns3:oMath>
        <ns3:r>
          <ns3:t>θ</ns3:t>
        </ns3:r>
      </ns3:oMath>
      <w:r>
        <w:t xml:space="preserve"> </w:t>
      </w:r>
      <w:r>
        <w:t xml:space="preserve">evolve according to:</w:t>
      </w:r>
    </w:p>
    <w:p>
      <w:pPr>
        <w:pStyle w:val="BodyText"/>
      </w:pPr>
      <ns3:oMathPara>
        <ns3:oMathParaPr>
          <ns3:jc ns3:val="center"/>
        </ns3:oMathParaPr>
        <ns3:oMath>
          <ns3:f>
            <ns3:fPr>
              <ns3:type ns3:val="bar"/>
            </ns3:fPr>
            <ns3:num>
              <ns3:r>
                <ns3:t>d</ns3:t>
              </ns3:r>
              <ns3:r>
                <ns3:t>θ</ns3:t>
              </ns3:r>
            </ns3:num>
            <ns3:den>
              <ns3:r>
                <ns3:t>d</ns3:t>
              </ns3:r>
              <ns3:r>
                <ns3:t>t</ns3:t>
              </ns3:r>
            </ns3:den>
          </ns3:f>
          <ns3:r>
            <ns3:rPr>
              <ns3:sty ns3:val="p"/>
            </ns3:rPr>
            <ns3:t>=</ns3:t>
          </ns3:r>
          <ns3:limLow>
            <ns3:e>
              <ns3:limLow>
                <ns3:e>
                  <ns3:r>
                    <ns3:t>η</ns3:t>
                  </ns3:r>
                  <ns3:r>
                    <ns3:rPr>
                      <ns3:sty ns3:val="p"/>
                    </ns3:rPr>
                    <ns3:t>⋅</ns3:t>
                  </ns3:r>
                  <ns3:r>
                    <ns3:t>A</ns3:t>
                  </ns3:r>
                  <ns3:r>
                    <ns3:rPr>
                      <ns3:sty ns3:val="p"/>
                    </ns3:rPr>
                    <ns3:t>[</ns3:t>
                  </ns3:r>
                  <ns3:r>
                    <ns3:t>σ</ns3:t>
                  </ns3:r>
                  <ns3:r>
                    <ns3:rPr>
                      <ns3:sty ns3:val="p"/>
                    </ns3:rPr>
                    <ns3:t>,</ns3:t>
                  </ns3:r>
                  <ns3:r>
                    <ns3:rPr>
                      <ns3:nor/>
                      <ns3:sty ns3:val="p"/>
                    </ns3:rPr>
                    <ns3:t>Target</ns3:t>
                  </ns3:r>
                  <ns3:r>
                    <ns3:rPr>
                      <ns3:sty ns3:val="p"/>
                    </ns3:rPr>
                    <ns3:t>]</ns3:t>
                  </ns3:r>
                </ns3:e>
                <ns3:lim>
                  <ns3:r>
                    <ns3:rPr>
                      <ns3:sty ns3:val="p"/>
                    </ns3:rPr>
                    <ns3:t>⏟</ns3:t>
                  </ns3:r>
                </ns3:lim>
              </ns3:limLow>
            </ns3:e>
            <ns3:lim>
              <ns3:r>
                <ns3:rPr>
                  <ns3:nor/>
                  <ns3:sty ns3:val="p"/>
                </ns3:rPr>
                <ns3:t>Learning</ns3:t>
              </ns3:r>
            </ns3:lim>
          </ns3:limLow>
          <ns3:r>
            <ns3:rPr>
              <ns3:sty ns3:val="p"/>
            </ns3:rPr>
            <ns3:t>−</ns3:t>
          </ns3:r>
          <ns3:limLow>
            <ns3:e>
              <ns3:limLow>
                <ns3:e>
                  <ns3:r>
                    <ns3:t>δ</ns3:t>
                  </ns3:r>
                  <ns3:r>
                    <ns3:rPr>
                      <ns3:sty ns3:val="p"/>
                    </ns3:rPr>
                    <ns3:t>⋅</ns3:t>
                  </ns3:r>
                  <ns3:f>
                    <ns3:fPr>
                      <ns3:type ns3:val="bar"/>
                    </ns3:fPr>
                    <ns3:num>
                      <ns3:r>
                        <ns3:rPr>
                          <ns3:sty ns3:val="p"/>
                        </ns3:rPr>
                        <ns3:t>∂</ns3:t>
                      </ns3:r>
                      <ns3:r>
                        <ns3:rPr>
                          <ns3:sty ns3:val="p"/>
                        </ns3:rPr>
                        <ns3:t>Φ</ns3:t>
                      </ns3:r>
                      <ns3:r>
                        <ns3:rPr>
                          <ns3:sty ns3:val="p"/>
                        </ns3:rPr>
                        <ns3:t>(</ns3:t>
                      </ns3:r>
                      <ns3:r>
                        <ns3:t>θ</ns3:t>
                      </ns3:r>
                      <ns3:r>
                        <ns3:rPr>
                          <ns3:sty ns3:val="p"/>
                        </ns3:rPr>
                        <ns3:t>)</ns3:t>
                      </ns3:r>
                    </ns3:num>
                    <ns3:den>
                      <ns3:r>
                        <ns3:rPr>
                          <ns3:sty ns3:val="p"/>
                        </ns3:rPr>
                        <ns3:t>∂</ns3:t>
                      </ns3:r>
                      <ns3:r>
                        <ns3:t>θ</ns3:t>
                      </ns3:r>
                    </ns3:den>
                  </ns3:f>
                </ns3:e>
                <ns3:lim>
                  <ns3:r>
                    <ns3:rPr>
                      <ns3:sty ns3:val="p"/>
                    </ns3:rPr>
                    <ns3:t>⏟</ns3:t>
                  </ns3:r>
                </ns3:lim>
              </ns3:limLow>
            </ns3:e>
            <ns3:lim>
              <ns3:r>
                <ns3:rPr>
                  <ns3:nor/>
                  <ns3:sty ns3:val="p"/>
                </ns3:rPr>
                <ns3:t>Friction descent</ns3:t>
              </ns3:r>
            </ns3:lim>
          </ns3:limLow>
          <ns3:r>
            <ns3:rPr>
              <ns3:sty ns3:val="p"/>
            </ns3:rPr>
            <ns3:t>−</ns3:t>
          </ns3:r>
          <ns3:limLow>
            <ns3:e>
              <ns3:limLow>
                <ns3:e>
                  <ns3:r>
                    <ns3:t>κ</ns3:t>
                  </ns3:r>
                  <ns3:r>
                    <ns3:rPr>
                      <ns3:sty ns3:val="p"/>
                    </ns3:rPr>
                    <ns3:t>⋅</ns3:t>
                  </ns3:r>
                  <ns3:r>
                    <ns3:rPr>
                      <ns3:sty ns3:val="p"/>
                    </ns3:rPr>
                    <ns3:t>(</ns3:t>
                  </ns3:r>
                  <ns3:sSub>
                    <ns3:e>
                      <ns3:r>
                        <ns3:rPr>
                          <ns3:nor/>
                          <ns3:sty ns3:val="p"/>
                        </ns3:rPr>
                        <ns3:t>Input</ns3:t>
                      </ns3:r>
                    </ns3:e>
                    <ns3:sub>
                      <ns3:r>
                        <ns3:rPr>
                          <ns3:nor/>
                          <ns3:sty ns3:val="p"/>
                        </ns3:rPr>
                        <ns3:t>act</ns3:t>
                      </ns3:r>
                    </ns3:sub>
                  </ns3:sSub>
                  <ns3:r>
                    <ns3:rPr>
                      <ns3:sty ns3:val="p"/>
                    </ns3:rPr>
                    <ns3:t>−</ns3:t>
                  </ns3:r>
                  <ns3:r>
                    <ns3:rPr>
                      <ns3:nor/>
                      <ns3:sty ns3:val="p"/>
                    </ns3:rPr>
                    <ns3:t>Baseline</ns3:t>
                  </ns3:r>
                  <ns3:r>
                    <ns3:rPr>
                      <ns3:sty ns3:val="p"/>
                    </ns3:rPr>
                    <ns3:t>)</ns3:t>
                  </ns3:r>
                </ns3:e>
                <ns3:lim>
                  <ns3:r>
                    <ns3:rPr>
                      <ns3:sty ns3:val="p"/>
                    </ns3:rPr>
                    <ns3:t>⏟</ns3:t>
                  </ns3:r>
                </ns3:lim>
              </ns3:limLow>
            </ns3:e>
            <ns3:lim>
              <ns3:r>
                <ns3:rPr>
                  <ns3:nor/>
                  <ns3:sty ns3:val="p"/>
                </ns3:rPr>
                <ns3:t>Homeostatic recoil</ns3:t>
              </ns3:r>
            </ns3:lim>
          </ns3:limLow>
        </ns3:oMath>
      </ns3:oMathPara>
    </w:p>
    <w:p>
      <w:pPr>
        <w:pStyle w:val="FirstParagraph"/>
      </w:pPr>
      <w:r>
        <w:t xml:space="preserve">where</w:t>
      </w:r>
      <w:r>
        <w:t xml:space="preserve"> </w:t>
      </w:r>
      <ns3:oMath>
        <ns3:r>
          <ns3:t>η</ns3:t>
        </ns3:r>
        <ns3:r>
          <ns3:rPr>
            <ns3:sty ns3:val="p"/>
          </ns3:rPr>
          <ns3:t>,</ns3:t>
        </ns3:r>
        <ns3:r>
          <ns3:t>δ</ns3:t>
        </ns3:r>
        <ns3:r>
          <ns3:rPr>
            <ns3:sty ns3:val="p"/>
          </ns3:rPr>
          <ns3:t>,</ns3:t>
        </ns3:r>
        <ns3:r>
          <ns3:t>κ</ns3:t>
        </ns3:r>
        <ns3:r>
          <ns3:rPr>
            <ns3:sty ns3:val="p"/>
          </ns3:rPr>
          <ns3:t>&gt;</ns3:t>
        </ns3:r>
        <ns3:r>
          <ns3:t>0</ns3:t>
        </ns3:r>
      </ns3:oMath>
      <w:r>
        <w:t xml:space="preserve">,</w:t>
      </w:r>
      <w:r>
        <w:t xml:space="preserve"> </w:t>
      </w:r>
      <ns3:oMath>
        <ns3:r>
          <ns3:t>A</ns3:t>
        </ns3:r>
        <ns3:r>
          <ns3:rPr>
            <ns3:sty ns3:val="p"/>
          </ns3:rPr>
          <ns3:t>[</ns3:t>
        </ns3:r>
        <ns3:r>
          <ns3:t>σ</ns3:t>
        </ns3:r>
        <ns3:r>
          <ns3:rPr>
            <ns3:sty ns3:val="p"/>
          </ns3:rPr>
          <ns3:t>,</ns3:t>
        </ns3:r>
        <ns3:r>
          <ns3:rPr>
            <ns3:nor/>
            <ns3:sty ns3:val="p"/>
          </ns3:rPr>
          <ns3:t>Target</ns3:t>
        </ns3:r>
        <ns3:r>
          <ns3:rPr>
            <ns3:sty ns3:val="p"/>
          </ns3:rPr>
          <ns3:t>]</ns3:t>
        </ns3:r>
      </ns3:oMath>
      <w:r>
        <w:t xml:space="preserve"> </w:t>
      </w:r>
      <w:r>
        <w:t xml:space="preserve">is the learning signal (error-driven adaptation),</w:t>
      </w:r>
      <w:r>
        <w:t xml:space="preserve"> </w:t>
      </w:r>
      <ns3:oMath>
        <ns3:r>
          <ns3:rPr>
            <ns3:sty ns3:val="p"/>
          </ns3:rPr>
          <ns3:t>∂</ns3:t>
        </ns3:r>
        <ns3:r>
          <ns3:rPr>
            <ns3:sty ns3:val="p"/>
          </ns3:rPr>
          <ns3:t>Φ</ns3:t>
        </ns3:r>
        <ns3:r>
          <ns3:rPr>
            <ns3:sty ns3:val="p"/>
          </ns3:rPr>
          <ns3:t>(</ns3:t>
        </ns3:r>
        <ns3:r>
          <ns3:t>θ</ns3:t>
        </ns3:r>
        <ns3:r>
          <ns3:rPr>
            <ns3:sty ns3:val="p"/>
          </ns3:rPr>
          <ns3:t>)</ns3:t>
        </ns3:r>
        <ns3:r>
          <ns3:rPr>
            <ns3:sty ns3:val="p"/>
          </ns3:rPr>
          <ns3:t>/</ns3:t>
        </ns3:r>
        <ns3:r>
          <ns3:rPr>
            <ns3:sty ns3:val="p"/>
          </ns3:rPr>
          <ns3:t>∂</ns3:t>
        </ns3:r>
        <ns3:r>
          <ns3:t>θ</ns3:t>
        </ns3:r>
      </ns3:oMath>
      <w:r>
        <w:t xml:space="preserve"> </w:t>
      </w:r>
      <w:r>
        <w:t xml:space="preserve">is the gradient of the friction potential (driving parameters toward lower-friction configurations), and the third term captures homeostatic pressure to return to baseline. This equation governs the slow dynamics of habit formation, belief revision, and therapeutic change over weeks to months.</w:t>
      </w:r>
    </w:p>
    <w:p>
      <w:pPr>
        <w:pStyle w:val="BodyText"/>
      </w:pPr>
      <w:r>
        <w:t xml:space="preserve">Equation (B1) is not tested in the current phase-1/2 validation roadmap because it requires longitudinal treatment-design data. It is included here for theoretical completeness and to motivate future intervention studies in which pharmacological</w:t>
      </w:r>
      <w:r>
        <w:t xml:space="preserve"> </w:t>
      </w:r>
      <ns3:oMath>
        <ns3:sSub>
          <ns3:e>
            <ns3:r>
              <ns3:rPr>
                <ns3:sty ns3:val="p"/>
              </ns3:rPr>
              <ns3:t>Ψ</ns3:t>
            </ns3:r>
          </ns3:e>
          <ns3:sub>
            <ns3:r>
              <ns3:t>f</ns3:t>
            </ns3:r>
          </ns3:sub>
        </ns3:sSub>
      </ns3:oMath>
      <w:r>
        <w:t xml:space="preserve"> </w:t>
      </w:r>
      <w:r>
        <w:t xml:space="preserve">reduction (modifying</w:t>
      </w:r>
      <w:r>
        <w:t xml:space="preserve"> </w:t>
      </w:r>
      <ns3:oMath>
        <ns3:r>
          <ns3:rPr>
            <ns3:sty ns3:val="p"/>
          </ns3:rPr>
          <ns3:t>Φ</ns3:t>
        </ns3:r>
      </ns3:oMath>
      <w:r>
        <w:t xml:space="preserve">) and behavioral</w:t>
      </w:r>
      <w:r>
        <w:t xml:space="preserve"> </w:t>
      </w:r>
      <ns3:oMath>
        <ns3:sSub>
          <ns3:e>
            <ns3:r>
              <ns3:t>P</ns3:t>
            </ns3:r>
          </ns3:e>
          <ns3:sub>
            <ns3:r>
              <ns3:rPr>
                <ns3:nor/>
                <ns3:sty ns3:val="p"/>
              </ns3:rPr>
              <ns3:t>sel</ns3:t>
            </ns3:r>
          </ns3:sub>
        </ns3:sSub>
      </ns3:oMath>
      <w:r>
        <w:t xml:space="preserve"> </w:t>
      </w:r>
      <w:r>
        <w:t xml:space="preserve">training (modifying</w:t>
      </w:r>
      <w:r>
        <w:t xml:space="preserve"> </w:t>
      </w:r>
      <ns3:oMath>
        <ns3:r>
          <ns3:t>η</ns3:t>
        </ns3:r>
      </ns3:oMath>
      <w:r>
        <w:t xml:space="preserve"> </w:t>
      </w:r>
      <w:r>
        <w:t xml:space="preserve">or</w:t>
      </w:r>
      <w:r>
        <w:t xml:space="preserve"> </w:t>
      </w:r>
      <ns3:oMath>
        <ns3:r>
          <ns3:t>κ</ns3:t>
        </ns3:r>
      </ns3:oMath>
      <w:r>
        <w:t xml:space="preserve">) can be modeled as distinct parameter-level interventions.</w:t>
      </w:r>
    </w:p>
    <w:p>
      <w:r>
        <w:pict>
          <ns1:rect style="width:0;height:1.5pt" ns2:hralign="center" ns2:hrstd="t" ns2:hr="t"/>
        </w:pict>
      </w:r>
    </w:p>
    <w:bookmarkEnd w:id="49"/>
    <w:bookmarkStart w:id="50" w:name="conflict-of-interest-statement"/>
    <w:p>
      <w:pPr>
        <w:pStyle w:val="Heading2"/>
      </w:pPr>
      <w:r>
        <w:t xml:space="preserve">Conflict of Interest Statement</w:t>
      </w:r>
    </w:p>
    <w:p>
      <w:pPr>
        <w:pStyle w:val="FirstParagraph"/>
      </w:pPr>
      <w:r>
        <w:t xml:space="preserve">The author declares that the research was conducted in the absence of any commercial or financial relationships that could be construed as a potential conflict of interest.</w:t>
      </w:r>
    </w:p>
    <w:bookmarkEnd w:id="50"/>
    <w:bookmarkStart w:id="51" w:name="author-contributions"/>
    <w:p>
      <w:pPr>
        <w:pStyle w:val="Heading2"/>
      </w:pPr>
      <w:r>
        <w:t xml:space="preserve">Author Contributions</w:t>
      </w:r>
    </w:p>
    <w:p>
      <w:pPr>
        <w:pStyle w:val="FirstParagraph"/>
      </w:pPr>
      <w:r>
        <w:t xml:space="preserve">The author conceived the theoretical framework, developed the formal model, designed the proposed experimental program, prepared the figures and tables, and wrote the manuscript.</w:t>
      </w:r>
    </w:p>
    <w:bookmarkEnd w:id="51"/>
    <w:bookmarkStart w:id="52" w:name="funding"/>
    <w:p>
      <w:pPr>
        <w:pStyle w:val="Heading2"/>
      </w:pPr>
      <w:r>
        <w:t xml:space="preserve">Funding</w:t>
      </w:r>
    </w:p>
    <w:p>
      <w:pPr>
        <w:pStyle w:val="FirstParagraph"/>
      </w:pPr>
      <w:r>
        <w:t xml:space="preserve">This work received no external funding.</w:t>
      </w:r>
    </w:p>
    <w:bookmarkEnd w:id="52"/>
    <w:bookmarkStart w:id="53" w:name="acknowledgments"/>
    <w:p>
      <w:pPr>
        <w:pStyle w:val="Heading2"/>
      </w:pPr>
      <w:r>
        <w:t xml:space="preserve">Acknowledgments</w:t>
      </w:r>
    </w:p>
    <w:p>
      <w:pPr>
        <w:pStyle w:val="FirstParagraph"/>
      </w:pPr>
      <w:r>
        <w:t xml:space="preserve">The author thanks colleagues and reviewers for critical discussion and manuscript feedback. The author used generative AI systems (Anthropic Claude) for language refinement and structural editing. All AI-assisted content was critically reviewed, revised, and verified by the author, who retains full responsibility for the manuscript.</w:t>
      </w:r>
    </w:p>
    <w:bookmarkEnd w:id="53"/>
    <w:bookmarkStart w:id="54" w:name="generative-ai-statement"/>
    <w:p>
      <w:pPr>
        <w:pStyle w:val="Heading2"/>
      </w:pPr>
      <w:r>
        <w:t xml:space="preserve">Generative AI Statement</w:t>
      </w:r>
    </w:p>
    <w:p>
      <w:pPr>
        <w:pStyle w:val="FirstParagraph"/>
      </w:pPr>
      <w:r>
        <w:t xml:space="preserve">The author declares that generative AI was used only for drafting and language-structure optimization during manuscript preparation (Anthropic Claude). Generative AI was not used for data generation, statistical analysis, or unverified citation insertion. Final factual accuracy, citation integrity, and scientific claims were checked by the author.</w:t>
      </w:r>
    </w:p>
    <w:bookmarkEnd w:id="54"/>
    <w:bookmarkStart w:id="55" w:name="data-availability-statement"/>
    <w:p>
      <w:pPr>
        <w:pStyle w:val="Heading2"/>
      </w:pPr>
      <w:r>
        <w:t xml:space="preserve">Data Availability Statement</w:t>
      </w:r>
    </w:p>
    <w:p>
      <w:pPr>
        <w:pStyle w:val="FirstParagraph"/>
      </w:pPr>
      <w:r>
        <w:t xml:space="preserve">No empirical datasets were generated or analyzed for this theoretical manuscript. All equations, hypotheses, and analysis plans are fully reported in the main text. Upon empirical execution, the author will release the</w:t>
      </w:r>
      <w:r>
        <w:t xml:space="preserve"> </w:t>
      </w:r>
      <ns3:oMath>
        <ns3:sSub>
          <ns3:e>
            <ns3:r>
              <ns3:t>μ</ns3:t>
            </ns3:r>
          </ns3:e>
          <ns3:sub>
            <ns3:r>
              <ns3:rPr>
                <ns3:nor/>
                <ns3:sty ns3:val="p"/>
              </ns3:rPr>
              <ns3:t>sem</ns3:t>
            </ns3:r>
          </ns3:sub>
        </ns3:sSub>
      </ns3:oMath>
      <w:r>
        <w:t xml:space="preserve"> </w:t>
      </w:r>
      <w:r>
        <w:t xml:space="preserve">dictionary specification, analysis code, and pre-registered scripts to support reproducibility.</w:t>
      </w:r>
    </w:p>
    <w:bookmarkEnd w:id="55"/>
    <w:bookmarkStart w:id="56" w:name="ethics-statement"/>
    <w:p>
      <w:pPr>
        <w:pStyle w:val="Heading2"/>
      </w:pPr>
      <w:r>
        <w:t xml:space="preserve">Ethics Statement</w:t>
      </w:r>
    </w:p>
    <w:p>
      <w:pPr>
        <w:pStyle w:val="FirstParagraph"/>
      </w:pPr>
      <w:r>
        <w:t xml:space="preserve">No human or animal participants were involved in this theoretical work; ethics approval and informed consent were therefore not required.</w:t>
      </w:r>
    </w:p>
    <w:bookmarkEnd w:id="56"/>
    <w:bookmarkStart w:id="57" w:name="abbreviations"/>
    <w:p>
      <w:pPr>
        <w:pStyle w:val="Heading2"/>
      </w:pPr>
      <w:r>
        <w:t xml:space="preserve">Abbreviations</w:t>
      </w:r>
    </w:p>
    <w:p>
      <w:pPr>
        <w:pStyle w:val="FirstParagraph"/>
      </w:pPr>
      <w:r>
        <w:t xml:space="preserve">FEP, Free Energy Principle; IIT, Integrated Information Theory; MDD, major depressive disorder; OCD, obsessive-compulsive disorder; PD, Parkinson’s disease; HRV, heart rate variability; SCR, skin conductance response; ROS, reactive oxygen species; PCI, perturbational complexity index; WCST, Wisconsin Card Sorting Test; SEM, structural equation modeling; CFA, confirmatory factor analysis.</w:t>
      </w:r>
    </w:p>
    <w:p>
      <w:r>
        <w:pict>
          <ns1:rect style="width:0;height:1.5pt" ns2:hralign="center" ns2:hrstd="t" ns2:hr="t"/>
        </w:pict>
      </w:r>
    </w:p>
    <w:bookmarkEnd w:id="57"/>
    <w:bookmarkStart w:id="58" w:name="references"/>
    <w:p>
      <w:pPr>
        <w:pStyle w:val="Heading2"/>
      </w:pPr>
      <w:r>
        <w:t xml:space="preserve">References</w:t>
      </w:r>
    </w:p>
    <w:p>
      <w:pPr>
        <w:pStyle w:val="FirstParagraph"/>
      </w:pPr>
      <w:r>
        <w:t xml:space="preserve">Adam, E. K., Quinn, M. E., Tavernier, R., McQuillan, M. T., Dahlke, K. A., and Gilbert, K. E. (2017). Diurnal cortisol slopes and mental and physical health outcomes: A systematic review and meta-analysis.</w:t>
      </w:r>
      <w:r>
        <w:t xml:space="preserve"> </w:t>
      </w:r>
      <w:r>
        <w:rPr>
          <w:i/>
          <w:iCs/>
        </w:rPr>
        <w:t xml:space="preserve">Psychoneuroendocrinology</w:t>
      </w:r>
      <w:r>
        <w:t xml:space="preserve">, 83, 25–41.</w:t>
      </w:r>
    </w:p>
    <w:p>
      <w:pPr>
        <w:pStyle w:val="BodyText"/>
      </w:pPr>
      <w:r>
        <w:t xml:space="preserve">Alloy, L. B., and Abramson, L. Y. (1979). Judgment of contingency in depressed and nondepressed students: Sadder but wiser?</w:t>
      </w:r>
      <w:r>
        <w:t xml:space="preserve"> </w:t>
      </w:r>
      <w:r>
        <w:rPr>
          <w:i/>
          <w:iCs/>
        </w:rPr>
        <w:t xml:space="preserve">Journal of Experimental Psychology: General</w:t>
      </w:r>
      <w:r>
        <w:t xml:space="preserve">, 108(4), 441–485.</w:t>
      </w:r>
    </w:p>
    <w:p>
      <w:pPr>
        <w:pStyle w:val="BodyText"/>
      </w:pPr>
      <w:r>
        <w:t xml:space="preserve">Amari, S. (2016).</w:t>
      </w:r>
      <w:r>
        <w:t xml:space="preserve"> </w:t>
      </w:r>
      <w:r>
        <w:rPr>
          <w:i/>
          <w:iCs/>
        </w:rPr>
        <w:t xml:space="preserve">Information Geometry and Its Applications</w:t>
      </w:r>
      <w:r>
        <w:t xml:space="preserve">. Springer.</w:t>
      </w:r>
    </w:p>
    <w:p>
      <w:pPr>
        <w:pStyle w:val="BodyText"/>
      </w:pPr>
      <w:r>
        <w:t xml:space="preserve">Baumeister, R. F., Bratslavsky, E., Muraven, M., and Tice, D. M. (1998). Ego depletion: Is the active self a limited resource?</w:t>
      </w:r>
      <w:r>
        <w:t xml:space="preserve"> </w:t>
      </w:r>
      <w:r>
        <w:rPr>
          <w:i/>
          <w:iCs/>
        </w:rPr>
        <w:t xml:space="preserve">Journal of Personality and Social Psychology</w:t>
      </w:r>
      <w:r>
        <w:t xml:space="preserve">, 74(5), 1252–1265.</w:t>
      </w:r>
    </w:p>
    <w:p>
      <w:pPr>
        <w:pStyle w:val="BodyText"/>
      </w:pPr>
      <w:r>
        <w:t xml:space="preserve">Bechara, A., Damasio, A. R., Damasio, H., and Anderson, S. W. (1994). Insensitivity to future consequences following damage to human prefrontal cortex.</w:t>
      </w:r>
      <w:r>
        <w:t xml:space="preserve"> </w:t>
      </w:r>
      <w:r>
        <w:rPr>
          <w:i/>
          <w:iCs/>
        </w:rPr>
        <w:t xml:space="preserve">Cognition</w:t>
      </w:r>
      <w:r>
        <w:t xml:space="preserve">, 50(1-3), 7–15.</w:t>
      </w:r>
    </w:p>
    <w:p>
      <w:pPr>
        <w:pStyle w:val="BodyText"/>
      </w:pPr>
      <w:r>
        <w:t xml:space="preserve">Berg, E. A. (1948). A simple objective technique for measuring flexibility in thinking.</w:t>
      </w:r>
      <w:r>
        <w:t xml:space="preserve"> </w:t>
      </w:r>
      <w:r>
        <w:rPr>
          <w:i/>
          <w:iCs/>
        </w:rPr>
        <w:t xml:space="preserve">Journal of General Psychology</w:t>
      </w:r>
      <w:r>
        <w:t xml:space="preserve">, 39(1), 15–22.</w:t>
      </w:r>
    </w:p>
    <w:p>
      <w:pPr>
        <w:pStyle w:val="BodyText"/>
      </w:pPr>
      <w:r>
        <w:t xml:space="preserve">Bickel, W. K., Jarmolowicz, D. P., Mueller, E. T., Koffarnus, M. N., and Gatchalian, K. M. (2012). Excessive discounting of delayed reinforcers as a trans-disease process contributing to addiction and other disease-related vulnerabilities: Emerging evidence.</w:t>
      </w:r>
      <w:r>
        <w:t xml:space="preserve"> </w:t>
      </w:r>
      <w:r>
        <w:rPr>
          <w:i/>
          <w:iCs/>
        </w:rPr>
        <w:t xml:space="preserve">Pharmacology &amp; Therapeutics</w:t>
      </w:r>
      <w:r>
        <w:t xml:space="preserve">, 134(3), 287–297.</w:t>
      </w:r>
    </w:p>
    <w:p>
      <w:pPr>
        <w:pStyle w:val="BodyText"/>
      </w:pPr>
      <w:r>
        <w:t xml:space="preserve">Brown, J. W., Reynolds, J. R., and Braver, T. S. (2007). A computational model of fractionated conflict-control mechanisms in task-switching.</w:t>
      </w:r>
      <w:r>
        <w:t xml:space="preserve"> </w:t>
      </w:r>
      <w:r>
        <w:rPr>
          <w:i/>
          <w:iCs/>
        </w:rPr>
        <w:t xml:space="preserve">Cognitive Psychology</w:t>
      </w:r>
      <w:r>
        <w:t xml:space="preserve">, 55(1), 37–85.</w:t>
      </w:r>
    </w:p>
    <w:p>
      <w:pPr>
        <w:pStyle w:val="BodyText"/>
      </w:pPr>
      <w:r>
        <w:t xml:space="preserve">Casali, A. G., Gosseries, O., Rosanova, M., Boly, M., Sarasso, S., Casarotto, S., et al. (2013). A theoretically based index of consciousness independent of sensory processing and behavior.</w:t>
      </w:r>
      <w:r>
        <w:t xml:space="preserve"> </w:t>
      </w:r>
      <w:r>
        <w:rPr>
          <w:i/>
          <w:iCs/>
        </w:rPr>
        <w:t xml:space="preserve">Science Translational Medicine</w:t>
      </w:r>
      <w:r>
        <w:t xml:space="preserve">, 5(198), 198ra105.</w:t>
      </w:r>
    </w:p>
    <w:p>
      <w:pPr>
        <w:pStyle w:val="BodyText"/>
      </w:pPr>
      <w:r>
        <w:t xml:space="preserve">Chalmers, D. J. (1995). Facing up to the problem of consciousness.</w:t>
      </w:r>
      <w:r>
        <w:t xml:space="preserve"> </w:t>
      </w:r>
      <w:r>
        <w:rPr>
          <w:i/>
          <w:iCs/>
        </w:rPr>
        <w:t xml:space="preserve">Journal of Consciousness Studies</w:t>
      </w:r>
      <w:r>
        <w:t xml:space="preserve">, 2(3), 200–219.</w:t>
      </w:r>
    </w:p>
    <w:p>
      <w:pPr>
        <w:pStyle w:val="BodyText"/>
      </w:pPr>
      <w:r>
        <w:t xml:space="preserve">Diamond, A. (2013). Executive functions.</w:t>
      </w:r>
      <w:r>
        <w:t xml:space="preserve"> </w:t>
      </w:r>
      <w:r>
        <w:rPr>
          <w:i/>
          <w:iCs/>
        </w:rPr>
        <w:t xml:space="preserve">Annual Review of Psychology</w:t>
      </w:r>
      <w:r>
        <w:t xml:space="preserve">, 64, 135–168.</w:t>
      </w:r>
    </w:p>
    <w:p>
      <w:pPr>
        <w:pStyle w:val="BodyText"/>
      </w:pPr>
      <w:r>
        <w:t xml:space="preserve">Eichstaedt, J. C., Smith, R. J., Merchant, R. M., Ungar, L. H., Crutchley, P., Preotiuc-Pietro, D., et al. (2018). Facebook language predicts depression in medical records.</w:t>
      </w:r>
      <w:r>
        <w:t xml:space="preserve"> </w:t>
      </w:r>
      <w:r>
        <w:rPr>
          <w:i/>
          <w:iCs/>
        </w:rPr>
        <w:t xml:space="preserve">Proceedings of the National Academy of Sciences</w:t>
      </w:r>
      <w:r>
        <w:t xml:space="preserve">, 115(44), 11203–11208.</w:t>
      </w:r>
    </w:p>
    <w:p>
      <w:pPr>
        <w:pStyle w:val="BodyText"/>
      </w:pPr>
      <w:r>
        <w:t xml:space="preserve">Frank, M. J., Seeberger, L. C., and O’Reilly, R. C. (2004). By carrot or by stick: Cognitive reinforcement learning in parkinsonism.</w:t>
      </w:r>
      <w:r>
        <w:t xml:space="preserve"> </w:t>
      </w:r>
      <w:r>
        <w:rPr>
          <w:i/>
          <w:iCs/>
        </w:rPr>
        <w:t xml:space="preserve">Science</w:t>
      </w:r>
      <w:r>
        <w:t xml:space="preserve">, 306(5703), 1940–1943.</w:t>
      </w:r>
    </w:p>
    <w:p>
      <w:pPr>
        <w:pStyle w:val="BodyText"/>
      </w:pPr>
      <w:r>
        <w:t xml:space="preserve">Friston, K. (2010). The free-energy principle: A unified brain theory?</w:t>
      </w:r>
      <w:r>
        <w:t xml:space="preserve"> </w:t>
      </w:r>
      <w:r>
        <w:rPr>
          <w:i/>
          <w:iCs/>
        </w:rPr>
        <w:t xml:space="preserve">Nature Reviews Neuroscience</w:t>
      </w:r>
      <w:r>
        <w:t xml:space="preserve">, 11(2), 127–138.</w:t>
      </w:r>
    </w:p>
    <w:p>
      <w:pPr>
        <w:pStyle w:val="BodyText"/>
      </w:pPr>
      <w:r>
        <w:t xml:space="preserve">Gaab, J., Rohleder, N., Nater, U. M., and Ehlert, U. (2005). Psychological determinants of the cortisol stress response: The role of anticipatory cognitive appraisal.</w:t>
      </w:r>
      <w:r>
        <w:t xml:space="preserve"> </w:t>
      </w:r>
      <w:r>
        <w:rPr>
          <w:i/>
          <w:iCs/>
        </w:rPr>
        <w:t xml:space="preserve">Psychoneuroendocrinology</w:t>
      </w:r>
      <w:r>
        <w:t xml:space="preserve">, 30(6), 599–610.</w:t>
      </w:r>
    </w:p>
    <w:p>
      <w:pPr>
        <w:pStyle w:val="BodyText"/>
      </w:pPr>
      <w:r>
        <w:t xml:space="preserve">Hagger, M. S., Chatzisarantis, N. L. D., Alberts, H., Anggono, C. O., Batailler, C., Birt, A. R., et al. (2016). A multilab preregistered replication of the ego-depletion effect.</w:t>
      </w:r>
      <w:r>
        <w:t xml:space="preserve"> </w:t>
      </w:r>
      <w:r>
        <w:rPr>
          <w:i/>
          <w:iCs/>
        </w:rPr>
        <w:t xml:space="preserve">Perspectives on Psychological Science</w:t>
      </w:r>
      <w:r>
        <w:t xml:space="preserve">, 11(4), 546–573.</w:t>
      </w:r>
    </w:p>
    <w:p>
      <w:pPr>
        <w:pStyle w:val="BodyText"/>
      </w:pPr>
      <w:r>
        <w:t xml:space="preserve">Huys, Q. J. M., Maia, T. V., and Frank, M. J. (2016). Computational psychiatry as a bridge from neuroscience to clinical applications.</w:t>
      </w:r>
      <w:r>
        <w:t xml:space="preserve"> </w:t>
      </w:r>
      <w:r>
        <w:rPr>
          <w:i/>
          <w:iCs/>
        </w:rPr>
        <w:t xml:space="preserve">Nature Neuroscience</w:t>
      </w:r>
      <w:r>
        <w:t xml:space="preserve">, 19(3), 404–413.</w:t>
      </w:r>
    </w:p>
    <w:p>
      <w:pPr>
        <w:pStyle w:val="BodyText"/>
      </w:pPr>
      <w:r>
        <w:t xml:space="preserve">Kiesel, A., Steinhauser, M., Wendt, M., Falkenstein, M., Jost, K., Philipp, A. M., et al. (2010). Control and interference in task switching — A review.</w:t>
      </w:r>
      <w:r>
        <w:t xml:space="preserve"> </w:t>
      </w:r>
      <w:r>
        <w:rPr>
          <w:i/>
          <w:iCs/>
        </w:rPr>
        <w:t xml:space="preserve">Psychological Bulletin</w:t>
      </w:r>
      <w:r>
        <w:t xml:space="preserve">, 136(5), 849–874.</w:t>
      </w:r>
    </w:p>
    <w:p>
      <w:pPr>
        <w:pStyle w:val="BodyText"/>
      </w:pPr>
      <w:r>
        <w:t xml:space="preserve">Kroenke, K., Spitzer, R. L., and Williams, J. B. W. (2001). The PHQ-9: Validity of a brief depression severity measure.</w:t>
      </w:r>
      <w:r>
        <w:t xml:space="preserve"> </w:t>
      </w:r>
      <w:r>
        <w:rPr>
          <w:i/>
          <w:iCs/>
        </w:rPr>
        <w:t xml:space="preserve">Journal of General Internal Medicine</w:t>
      </w:r>
      <w:r>
        <w:t xml:space="preserve">, 16(9), 606–613.</w:t>
      </w:r>
    </w:p>
    <w:p>
      <w:pPr>
        <w:pStyle w:val="BodyText"/>
      </w:pPr>
      <w:r>
        <w:t xml:space="preserve">Lisman, J. E., and Idiart, M. A. P. (1995). Storage of 7 ± 2 short-term memories in oscillatory subcycles.</w:t>
      </w:r>
      <w:r>
        <w:t xml:space="preserve"> </w:t>
      </w:r>
      <w:r>
        <w:rPr>
          <w:i/>
          <w:iCs/>
        </w:rPr>
        <w:t xml:space="preserve">Science</w:t>
      </w:r>
      <w:r>
        <w:t xml:space="preserve">, 267(5203), 1512–1515.</w:t>
      </w:r>
    </w:p>
    <w:p>
      <w:pPr>
        <w:pStyle w:val="BodyText"/>
      </w:pPr>
      <w:r>
        <w:t xml:space="preserve">Lundqvist, M., Herman, P., and Lansner, A. (2011). Theta and gamma power increases and alpha/beta power decreases with memory load in an attractor network model.</w:t>
      </w:r>
      <w:r>
        <w:t xml:space="preserve"> </w:t>
      </w:r>
      <w:r>
        <w:rPr>
          <w:i/>
          <w:iCs/>
        </w:rPr>
        <w:t xml:space="preserve">Journal of Cognitive Neuroscience</w:t>
      </w:r>
      <w:r>
        <w:t xml:space="preserve">, 23(10), 3008–3020.</w:t>
      </w:r>
    </w:p>
    <w:p>
      <w:pPr>
        <w:pStyle w:val="BodyText"/>
      </w:pPr>
      <w:r>
        <w:t xml:space="preserve">Maes, M., Galecki, P., Chang, Y. S., and Berk, M. (2011). A review on the oxidative and nitrosative stress (O&amp;NS) pathways in major depression and their possible contribution to the (neuro)degenerative processes in that illness.</w:t>
      </w:r>
      <w:r>
        <w:t xml:space="preserve"> </w:t>
      </w:r>
      <w:r>
        <w:rPr>
          <w:i/>
          <w:iCs/>
        </w:rPr>
        <w:t xml:space="preserve">Progress in Neuro-Psychopharmacology and Biological Psychiatry</w:t>
      </w:r>
      <w:r>
        <w:t xml:space="preserve">, 35(3), 676–692.</w:t>
      </w:r>
    </w:p>
    <w:p>
      <w:pPr>
        <w:pStyle w:val="BodyText"/>
      </w:pPr>
      <w:r>
        <w:t xml:space="preserve">McEwen, B. S. (1998). Stress, adaptation, and disease: Allostasis and allostatic load.</w:t>
      </w:r>
      <w:r>
        <w:t xml:space="preserve"> </w:t>
      </w:r>
      <w:r>
        <w:rPr>
          <w:i/>
          <w:iCs/>
        </w:rPr>
        <w:t xml:space="preserve">Annals of the New York Academy of Sciences</w:t>
      </w:r>
      <w:r>
        <w:t xml:space="preserve">, 840(1), 33–44.</w:t>
      </w:r>
    </w:p>
    <w:p>
      <w:pPr>
        <w:pStyle w:val="BodyText"/>
      </w:pPr>
      <w:r>
        <w:t xml:space="preserve">McEwen, B. S., and Stellar, E. (1993). Stress and the individual: Mechanisms leading to disease.</w:t>
      </w:r>
      <w:r>
        <w:t xml:space="preserve"> </w:t>
      </w:r>
      <w:r>
        <w:rPr>
          <w:i/>
          <w:iCs/>
        </w:rPr>
        <w:t xml:space="preserve">Archives of Internal Medicine</w:t>
      </w:r>
      <w:r>
        <w:t xml:space="preserve">, 153(18), 2093–2101.</w:t>
      </w:r>
    </w:p>
    <w:p>
      <w:pPr>
        <w:pStyle w:val="BodyText"/>
      </w:pPr>
      <w:r>
        <w:t xml:space="preserve">Miller, A. H., and Raison, C. L. (2016). The role of inflammation in depression: From evolutionary imperative to modern treatment target.</w:t>
      </w:r>
      <w:r>
        <w:t xml:space="preserve"> </w:t>
      </w:r>
      <w:r>
        <w:rPr>
          <w:i/>
          <w:iCs/>
        </w:rPr>
        <w:t xml:space="preserve">Nature Reviews Immunology</w:t>
      </w:r>
      <w:r>
        <w:t xml:space="preserve">, 16(1), 22–34.</w:t>
      </w:r>
    </w:p>
    <w:p>
      <w:pPr>
        <w:pStyle w:val="BodyText"/>
      </w:pPr>
      <w:r>
        <w:t xml:space="preserve">Miller, E. K., and Cohen, J. D. (2001). An integrative theory of prefrontal cortex function.</w:t>
      </w:r>
      <w:r>
        <w:t xml:space="preserve"> </w:t>
      </w:r>
      <w:r>
        <w:rPr>
          <w:i/>
          <w:iCs/>
        </w:rPr>
        <w:t xml:space="preserve">Annual Review of Neuroscience</w:t>
      </w:r>
      <w:r>
        <w:t xml:space="preserve">, 24(1), 167–202.</w:t>
      </w:r>
    </w:p>
    <w:p>
      <w:pPr>
        <w:pStyle w:val="BodyText"/>
      </w:pPr>
      <w:r>
        <w:t xml:space="preserve">Miyake, A., Friedman, N. P., Emerson, M. J., Witzki, A. H., Howerter, A., and Wager, T. D. (2000). The unity and diversity of executive functions and their contributions to complex</w:t>
      </w:r>
      <w:r>
        <w:t xml:space="preserve"> </w:t>
      </w:r>
      <w:r>
        <w:t xml:space="preserve">“frontal lobe”</w:t>
      </w:r>
      <w:r>
        <w:t xml:space="preserve"> </w:t>
      </w:r>
      <w:r>
        <w:t xml:space="preserve">tasks: A latent variable analysis.</w:t>
      </w:r>
      <w:r>
        <w:t xml:space="preserve"> </w:t>
      </w:r>
      <w:r>
        <w:rPr>
          <w:i/>
          <w:iCs/>
        </w:rPr>
        <w:t xml:space="preserve">Cognitive Psychology</w:t>
      </w:r>
      <w:r>
        <w:t xml:space="preserve">, 41(1), 49–100.</w:t>
      </w:r>
    </w:p>
    <w:p>
      <w:pPr>
        <w:pStyle w:val="BodyText"/>
      </w:pPr>
      <w:r>
        <w:t xml:space="preserve">Monsell, S. (2003). Task switching.</w:t>
      </w:r>
      <w:r>
        <w:t xml:space="preserve"> </w:t>
      </w:r>
      <w:r>
        <w:rPr>
          <w:i/>
          <w:iCs/>
        </w:rPr>
        <w:t xml:space="preserve">Trends in Cognitive Sciences</w:t>
      </w:r>
      <w:r>
        <w:t xml:space="preserve">, 7(3), 134–140.</w:t>
      </w:r>
    </w:p>
    <w:p>
      <w:pPr>
        <w:pStyle w:val="BodyText"/>
      </w:pPr>
      <w:r>
        <w:t xml:space="preserve">Nuyts, J. (2001).</w:t>
      </w:r>
      <w:r>
        <w:t xml:space="preserve"> </w:t>
      </w:r>
      <w:r>
        <w:rPr>
          <w:i/>
          <w:iCs/>
        </w:rPr>
        <w:t xml:space="preserve">Epistemic Modality, Language, and Conceptualization: A Cognitive-Pragmatic Perspective</w:t>
      </w:r>
      <w:r>
        <w:t xml:space="preserve">. John Benjamins.</w:t>
      </w:r>
    </w:p>
    <w:p>
      <w:pPr>
        <w:pStyle w:val="BodyText"/>
      </w:pPr>
      <w:r>
        <w:t xml:space="preserve">Palmer, F. R. (2001).</w:t>
      </w:r>
      <w:r>
        <w:t xml:space="preserve"> </w:t>
      </w:r>
      <w:r>
        <w:rPr>
          <w:i/>
          <w:iCs/>
        </w:rPr>
        <w:t xml:space="preserve">Mood and Modality</w:t>
      </w:r>
      <w:r>
        <w:t xml:space="preserve"> </w:t>
      </w:r>
      <w:r>
        <w:t xml:space="preserve">(2nd ed.). Cambridge University Press.</w:t>
      </w:r>
    </w:p>
    <w:p>
      <w:pPr>
        <w:pStyle w:val="BodyText"/>
      </w:pPr>
      <w:r>
        <w:t xml:space="preserve">Papafragou, A. (2000).</w:t>
      </w:r>
      <w:r>
        <w:t xml:space="preserve"> </w:t>
      </w:r>
      <w:r>
        <w:rPr>
          <w:i/>
          <w:iCs/>
        </w:rPr>
        <w:t xml:space="preserve">Modality: Issues in the Semantics-Pragmatics Interface</w:t>
      </w:r>
      <w:r>
        <w:t xml:space="preserve">. Elsevier.</w:t>
      </w:r>
    </w:p>
    <w:p>
      <w:pPr>
        <w:pStyle w:val="BodyText"/>
      </w:pPr>
      <w:r>
        <w:t xml:space="preserve">Rude, S., Gortner, E.-M., and Pennebaker, J. (2004). Language use of depressed and depression-vulnerable college students.</w:t>
      </w:r>
      <w:r>
        <w:t xml:space="preserve"> </w:t>
      </w:r>
      <w:r>
        <w:rPr>
          <w:i/>
          <w:iCs/>
        </w:rPr>
        <w:t xml:space="preserve">Cognition and Emotion</w:t>
      </w:r>
      <w:r>
        <w:t xml:space="preserve">, 18(8), 1121–1133.</w:t>
      </w:r>
    </w:p>
    <w:p>
      <w:pPr>
        <w:pStyle w:val="BodyText"/>
      </w:pPr>
      <w:r>
        <w:t xml:space="preserve">Redgrave, P., Rodriguez, M., Smith, Y., Rodriguez-Oroz, M. C., Lehericy, S., Bergman, H., et al. (2010). Goal-directed and habitual control in the basal ganglia: Implications for Parkinson’s disease.</w:t>
      </w:r>
      <w:r>
        <w:t xml:space="preserve"> </w:t>
      </w:r>
      <w:r>
        <w:rPr>
          <w:i/>
          <w:iCs/>
        </w:rPr>
        <w:t xml:space="preserve">Nature Reviews Neuroscience</w:t>
      </w:r>
      <w:r>
        <w:t xml:space="preserve">, 11(11), 760–772.</w:t>
      </w:r>
    </w:p>
    <w:p>
      <w:pPr>
        <w:pStyle w:val="BodyText"/>
      </w:pPr>
      <w:r>
        <w:t xml:space="preserve">Shenhav, A., Botvinick, M. M., and Cohen, J. D. (2013). The expected value of control: An integrative theory of anterior cingulate cortex function.</w:t>
      </w:r>
      <w:r>
        <w:t xml:space="preserve"> </w:t>
      </w:r>
      <w:r>
        <w:rPr>
          <w:i/>
          <w:iCs/>
        </w:rPr>
        <w:t xml:space="preserve">Neuron</w:t>
      </w:r>
      <w:r>
        <w:t xml:space="preserve">, 79(2), 217–240.</w:t>
      </w:r>
    </w:p>
    <w:p>
      <w:pPr>
        <w:pStyle w:val="BodyText"/>
      </w:pPr>
      <w:r>
        <w:t xml:space="preserve">Shenhav, A., Musslick, S., Lieder, F., Kool, W., Griffiths, T. L., Cohen, J. D., and Botvinick, M. M. (2017). Toward a rational and mechanistic account of mental effort.</w:t>
      </w:r>
      <w:r>
        <w:t xml:space="preserve"> </w:t>
      </w:r>
      <w:r>
        <w:rPr>
          <w:i/>
          <w:iCs/>
        </w:rPr>
        <w:t xml:space="preserve">Annual Review of Neuroscience</w:t>
      </w:r>
      <w:r>
        <w:t xml:space="preserve">, 40, 99–124.</w:t>
      </w:r>
    </w:p>
    <w:p>
      <w:pPr>
        <w:pStyle w:val="BodyText"/>
      </w:pPr>
      <w:r>
        <w:t xml:space="preserve">Spitzer, R. L., Kroenke, K., Williams, J. B. W., and Loewe, B. (2006). A brief measure for assessing generalized anxiety disorder: The GAD-7.</w:t>
      </w:r>
      <w:r>
        <w:t xml:space="preserve"> </w:t>
      </w:r>
      <w:r>
        <w:rPr>
          <w:i/>
          <w:iCs/>
        </w:rPr>
        <w:t xml:space="preserve">Archives of Internal Medicine</w:t>
      </w:r>
      <w:r>
        <w:t xml:space="preserve">, 166(10), 1092–1097.</w:t>
      </w:r>
    </w:p>
    <w:p>
      <w:pPr>
        <w:pStyle w:val="BodyText"/>
      </w:pPr>
      <w:r>
        <w:t xml:space="preserve">Stroop, J. R. (1935). Studies of interference in serial verbal reactions.</w:t>
      </w:r>
      <w:r>
        <w:t xml:space="preserve"> </w:t>
      </w:r>
      <w:r>
        <w:rPr>
          <w:i/>
          <w:iCs/>
        </w:rPr>
        <w:t xml:space="preserve">Journal of Experimental Psychology</w:t>
      </w:r>
      <w:r>
        <w:t xml:space="preserve">, 18(6), 643–662.</w:t>
      </w:r>
    </w:p>
    <w:p>
      <w:pPr>
        <w:pStyle w:val="BodyText"/>
      </w:pPr>
      <w:r>
        <w:t xml:space="preserve">Stuss, D. T., and Alexander, M. P. (2007). Is there a dysexecutive syndrome?</w:t>
      </w:r>
      <w:r>
        <w:t xml:space="preserve"> </w:t>
      </w:r>
      <w:r>
        <w:rPr>
          <w:i/>
          <w:iCs/>
        </w:rPr>
        <w:t xml:space="preserve">Philosophical Transactions of the Royal Society B</w:t>
      </w:r>
      <w:r>
        <w:t xml:space="preserve">, 362(1481), 901–915.</w:t>
      </w:r>
    </w:p>
    <w:p>
      <w:pPr>
        <w:pStyle w:val="BodyText"/>
      </w:pPr>
      <w:r>
        <w:t xml:space="preserve">Sweller, J. (1988). Cognitive load during problem solving: Effects on learning.</w:t>
      </w:r>
      <w:r>
        <w:t xml:space="preserve"> </w:t>
      </w:r>
      <w:r>
        <w:rPr>
          <w:i/>
          <w:iCs/>
        </w:rPr>
        <w:t xml:space="preserve">Cognitive Science</w:t>
      </w:r>
      <w:r>
        <w:t xml:space="preserve">, 12(2), 257–285.</w:t>
      </w:r>
    </w:p>
    <w:p>
      <w:pPr>
        <w:pStyle w:val="BodyText"/>
      </w:pPr>
      <w:r>
        <w:t xml:space="preserve">Sweller, J., van Merriënboer, J. J. G., and Paas, F. (2019). Cognitive architecture and instructional design: 20 years later.</w:t>
      </w:r>
      <w:r>
        <w:t xml:space="preserve"> </w:t>
      </w:r>
      <w:r>
        <w:rPr>
          <w:i/>
          <w:iCs/>
        </w:rPr>
        <w:t xml:space="preserve">Educational Psychology Review</w:t>
      </w:r>
      <w:r>
        <w:t xml:space="preserve">, 31(2), 261–292.</w:t>
      </w:r>
    </w:p>
    <w:p>
      <w:pPr>
        <w:pStyle w:val="BodyText"/>
      </w:pPr>
      <w:r>
        <w:t xml:space="preserve">Thayer, J. F., and Lane, R. D. (2009). Claude Bernard and the heart–brain connection: Further elaboration of a model of neurovisceral integration.</w:t>
      </w:r>
      <w:r>
        <w:t xml:space="preserve"> </w:t>
      </w:r>
      <w:r>
        <w:rPr>
          <w:i/>
          <w:iCs/>
        </w:rPr>
        <w:t xml:space="preserve">Neuroscience &amp; Biobehavioral Reviews</w:t>
      </w:r>
      <w:r>
        <w:t xml:space="preserve">, 33(2), 81–88.</w:t>
      </w:r>
    </w:p>
    <w:p>
      <w:pPr>
        <w:pStyle w:val="BodyText"/>
      </w:pPr>
      <w:r>
        <w:t xml:space="preserve">Tononi, G., Boly, M., Massimini, M., and Koch, C. (2016). Integrated information theory: An updated account.</w:t>
      </w:r>
      <w:r>
        <w:t xml:space="preserve"> </w:t>
      </w:r>
      <w:r>
        <w:rPr>
          <w:i/>
          <w:iCs/>
        </w:rPr>
        <w:t xml:space="preserve">Archives Italiennes de Biologie</w:t>
      </w:r>
      <w:r>
        <w:t xml:space="preserve">, 154(2-3), 56–67.</w:t>
      </w:r>
    </w:p>
    <w:p>
      <w:pPr>
        <w:pStyle w:val="BodyText"/>
      </w:pPr>
      <w:r>
        <w:t xml:space="preserve">Tort, A. B. L., Komorowski, R., Eichenbaum, H., and Kopell, N. (2010). Measuring phase-amplitude coupling between neuronal oscillations of different frequencies.</w:t>
      </w:r>
      <w:r>
        <w:t xml:space="preserve"> </w:t>
      </w:r>
      <w:r>
        <w:rPr>
          <w:i/>
          <w:iCs/>
        </w:rPr>
        <w:t xml:space="preserve">Journal of Neurophysiology</w:t>
      </w:r>
      <w:r>
        <w:t xml:space="preserve">, 104(2), 1195–1210.</w:t>
      </w:r>
    </w:p>
    <w:p>
      <w:pPr>
        <w:pStyle w:val="BodyText"/>
      </w:pPr>
      <w:r>
        <w:t xml:space="preserve">Vadillo, M. A., Gold, N., and Osman, M. (2016). The bitter truth about sugar and willpower: The limited evidential value of the glucose model of ego depletion.</w:t>
      </w:r>
      <w:r>
        <w:t xml:space="preserve"> </w:t>
      </w:r>
      <w:r>
        <w:rPr>
          <w:i/>
          <w:iCs/>
        </w:rPr>
        <w:t xml:space="preserve">Psychological Science</w:t>
      </w:r>
      <w:r>
        <w:t xml:space="preserve">, 27(9), 1207–1214.</w:t>
      </w:r>
    </w:p>
    <w:p>
      <w:pPr>
        <w:pStyle w:val="BodyText"/>
      </w:pPr>
      <w:r>
        <w:t xml:space="preserve">van der Auwera, J., and Plungian, V. A. (1998). Modality’s semantic map.</w:t>
      </w:r>
      <w:r>
        <w:t xml:space="preserve"> </w:t>
      </w:r>
      <w:r>
        <w:rPr>
          <w:i/>
          <w:iCs/>
        </w:rPr>
        <w:t xml:space="preserve">Linguistic Typology</w:t>
      </w:r>
      <w:r>
        <w:t xml:space="preserve">, 2(1), 79–124.</w:t>
      </w:r>
    </w:p>
    <w:p>
      <w:pPr>
        <w:pStyle w:val="BodyText"/>
      </w:pPr>
      <w:r>
        <w:t xml:space="preserve">Westbrook, A., and Braver, T. S. (2015). Cognitive effort: A neuroeconomic approach.</w:t>
      </w:r>
      <w:r>
        <w:t xml:space="preserve"> </w:t>
      </w:r>
      <w:r>
        <w:rPr>
          <w:i/>
          <w:iCs/>
        </w:rPr>
        <w:t xml:space="preserve">Cognitive, Affective, &amp; Behavioral Neuroscience</w:t>
      </w:r>
      <w:r>
        <w:t xml:space="preserve">, 15(2), 395–415.</w:t>
      </w:r>
    </w:p>
    <w:p>
      <w:pPr>
        <w:pStyle w:val="BodyText"/>
      </w:pPr>
      <w:r>
        <w:t xml:space="preserve">Yeung, N., and Monsell, S. (2003). Switching between tasks of unequal familiarity: The role of stimulus-attribute and response-set selection.</w:t>
      </w:r>
      <w:r>
        <w:t xml:space="preserve"> </w:t>
      </w:r>
      <w:r>
        <w:rPr>
          <w:i/>
          <w:iCs/>
        </w:rPr>
        <w:t xml:space="preserve">Journal of Experimental Psychology: Human Perception and Performance</w:t>
      </w:r>
      <w:r>
        <w:t xml:space="preserve">, 29(2), 455–469.</w:t>
      </w:r>
    </w:p>
    <w:bookmarkEnd w:id="58"/>
    <w:bookmarkStart w:id="59" w:name="figure-captions"/>
    <w:p>
      <w:pPr>
        <w:pStyle w:val="Heading2"/>
      </w:pPr>
      <w:r>
        <w:t xml:space="preserve">Figure Captions</w:t>
      </w:r>
    </w:p>
    <w:p>
      <w:pPr>
        <w:pStyle w:val="FirstParagraph"/>
      </w:pPr>
      <w:r>
        <w:rPr>
          <w:b/>
          <w:bCs/>
        </w:rPr>
        <w:t xml:space="preserve">Figure 1.</w:t>
      </w:r>
      <w:r>
        <w:t xml:space="preserve"> </w:t>
      </w:r>
      <w:r>
        <w:rPr>
          <w:i/>
          <w:iCs/>
        </w:rPr>
        <w:t xml:space="preserve">Hierarchical control architecture and selection power budget.</w:t>
      </w:r>
      <w:r>
        <w:t xml:space="preserve"> </w:t>
      </w:r>
      <w:r>
        <w:t xml:space="preserve">(A) Three-part control scaffold: candidate policy space, active state, and slow constraints, linked by a resource-bounded selection/gating mechanism. Dashed feedback arrow indicates how slow constraints shape future selection. (B) Selection-budget diagram illustrating how the</w:t>
      </w:r>
      <w:r>
        <w:t xml:space="preserve"> </w:t>
      </w:r>
      <w:r>
        <w:t xml:space="preserve">“knowing-doing gap”</w:t>
      </w:r>
      <w:r>
        <w:t xml:space="preserve"> </w:t>
      </w:r>
      <w:r>
        <w:t xml:space="preserve">emerges when the red bar (</w:t>
      </w:r>
      <ns3:oMath>
        <ns3:r>
          <ns3:t>β</ns3:t>
        </ns3:r>
        <ns3:r>
          <ns3:rPr>
            <ns3:sty ns3:val="p"/>
          </ns3:rPr>
          <ns3:t>⋅</ns3:t>
        </ns3:r>
        <ns3:sSub>
          <ns3:e>
            <ns3:r>
              <ns3:rPr>
                <ns3:sty ns3:val="p"/>
              </ns3:rPr>
              <ns3:t>Ψ</ns3:t>
            </ns3:r>
          </ns3:e>
          <ns3:sub>
            <ns3:r>
              <ns3:t>f</ns3:t>
            </ns3:r>
          </ns3:sub>
        </ns3:sSub>
      </ns3:oMath>
      <w:r>
        <w:t xml:space="preserve">) plus orange bar (</w:t>
      </w:r>
      <ns3:oMath>
        <ns3:r>
          <ns3:t>γ</ns3:t>
        </ns3:r>
        <ns3:r>
          <ns3:rPr>
            <ns3:sty ns3:val="p"/>
          </ns3:rPr>
          <ns3:t>⋅</ns3:t>
        </ns3:r>
        <ns3:sSub>
          <ns3:e>
            <ns3:r>
              <ns3:t>S</ns3:t>
            </ns3:r>
          </ns3:e>
          <ns3:sub>
            <ns3:r>
              <ns3:rPr>
                <ns3:nor/>
                <ns3:sty ns3:val="p"/>
              </ns3:rPr>
              <ns3:t>noise</ns3:t>
            </ns3:r>
          </ns3:sub>
        </ns3:sSub>
      </ns3:oMath>
      <w:r>
        <w:t xml:space="preserve">) exceeds the green bar (</w:t>
      </w:r>
      <ns3:oMath>
        <ns3:r>
          <ns3:t>α</ns3:t>
        </ns3:r>
        <ns3:r>
          <ns3:rPr>
            <ns3:sty ns3:val="p"/>
          </ns3:rPr>
          <ns3:t>⋅</ns3:t>
        </ns3:r>
        <ns3:sSub>
          <ns3:e>
            <ns3:r>
              <ns3:t>P</ns3:t>
            </ns3:r>
          </ns3:e>
          <ns3:sub>
            <ns3:r>
              <ns3:rPr>
                <ns3:nor/>
                <ns3:sty ns3:val="p"/>
              </ns3:rPr>
              <ns3:t>sel</ns3:t>
            </ns3:r>
          </ns3:sub>
        </ns3:sSub>
      </ns3:oMath>
      <w:r>
        <w:t xml:space="preserve">), progressing from healthy function through stressed operation to clinical breakdown. Final artwork should keep these exact symbol labels for one-to-one correspondence with Equation (5).</w:t>
      </w:r>
    </w:p>
    <w:p>
      <w:pPr>
        <w:pStyle w:val="BodyText"/>
      </w:pPr>
      <w:r>
        <w:rPr>
          <w:b/>
          <w:bCs/>
        </w:rPr>
        <w:t xml:space="preserve">Figure 2.</w:t>
      </w:r>
      <w:r>
        <w:t xml:space="preserve"> </w:t>
      </w:r>
      <w:r>
        <w:rPr>
          <w:i/>
          <w:iCs/>
        </w:rPr>
        <w:t xml:space="preserve">Cross-modal operationalization map for executive friction (</w:t>
      </w:r>
      <ns3:oMath>
        <ns3:sSub>
          <ns3:e>
            <ns3:r>
              <ns3:rPr>
                <ns3:sty ns3:val="p"/>
              </ns3:rPr>
              <ns3:t>Ψ</ns3:t>
            </ns3:r>
          </ns3:e>
          <ns3:sub>
            <ns3:r>
              <ns3:t>f</ns3:t>
            </ns3:r>
          </ns3:sub>
        </ns3:sSub>
      </ns3:oMath>
      <w:r>
        <w:rPr>
          <w:i/>
          <w:iCs/>
        </w:rPr>
        <w:t xml:space="preserve">).</w:t>
      </w:r>
      <w:r>
        <w:t xml:space="preserve"> </w:t>
      </w:r>
      <w:r>
        <w:t xml:space="preserve">Central latent construct with four proxy classes. Core validation chain: behavioral, linguistic, and low-cost physiology (HRV/SCR/cortisol). Expansion chain: ROS biomarkers and neural proxies (PCI, Fisher information, theta-gamma coupling, basal ganglia gating). Arrows indicate predicted direction of association;</w:t>
      </w:r>
      <w:r>
        <w:t xml:space="preserve"> </w:t>
      </w:r>
      <w:r>
        <w:t xml:space="preserve">“(inv)”</w:t>
      </w:r>
      <w:r>
        <w:t xml:space="preserve"> </w:t>
      </w:r>
      <w:r>
        <w:t xml:space="preserve">denotes inverse coding.</w:t>
      </w:r>
    </w:p>
    <w:p>
      <w:pPr>
        <w:pStyle w:val="BodyText"/>
      </w:pPr>
      <w:r>
        <w:rPr>
          <w:b/>
          <w:bCs/>
        </w:rPr>
        <w:t xml:space="preserve">Figure 3.</w:t>
      </w:r>
      <w:r>
        <w:t xml:space="preserve"> </w:t>
      </w:r>
      <w:r>
        <w:rPr>
          <w:i/>
          <w:iCs/>
        </w:rPr>
        <w:t xml:space="preserve">ROS-</w:t>
      </w:r>
      <ns3:oMath>
        <ns3:sSub>
          <ns3:e>
            <ns3:r>
              <ns3:rPr>
                <ns3:sty ns3:val="p"/>
              </ns3:rPr>
              <ns3:t>Ψ</ns3:t>
            </ns3:r>
          </ns3:e>
          <ns3:sub>
            <ns3:r>
              <ns3:t>f</ns3:t>
            </ns3:r>
          </ns3:sub>
        </ns3:sSub>
      </ns3:oMath>
      <w:r>
        <w:rPr>
          <w:i/>
          <w:iCs/>
        </w:rPr>
        <w:t xml:space="preserve"> </w:t>
      </w:r>
      <w:r>
        <w:rPr>
          <w:i/>
          <w:iCs/>
        </w:rPr>
        <w:t xml:space="preserve">coupling mechanism: from executive friction to clinical expression.</w:t>
      </w:r>
      <w:r>
        <w:t xml:space="preserve"> </w:t>
      </w:r>
      <w:r>
        <w:t xml:space="preserve">Directed acyclic graph showing the pathophysiological chain from sustained high</w:t>
      </w:r>
      <w:r>
        <w:t xml:space="preserve"> </w:t>
      </w:r>
      <ns3:oMath>
        <ns3:sSub>
          <ns3:e>
            <ns3:r>
              <ns3:rPr>
                <ns3:sty ns3:val="p"/>
              </ns3:rPr>
              <ns3:t>Ψ</ns3:t>
            </ns3:r>
          </ns3:e>
          <ns3:sub>
            <ns3:r>
              <ns3:t>f</ns3:t>
            </ns3:r>
          </ns3:sub>
        </ns3:sSub>
      </ns3:oMath>
      <w:r>
        <w:t xml:space="preserve"> </w:t>
      </w:r>
      <w:r>
        <w:t xml:space="preserve">through elevated metabolic demand, increased ROS production, oxidative damage, inflammatory signaling, reduced selection power (</w:t>
      </w:r>
      <ns3:oMath>
        <ns3:sSub>
          <ns3:e>
            <ns3:r>
              <ns3:t>P</ns3:t>
            </ns3:r>
          </ns3:e>
          <ns3:sub>
            <ns3:r>
              <ns3:rPr>
                <ns3:nor/>
                <ns3:sty ns3:val="p"/>
              </ns3:rPr>
              <ns3:t>sel</ns3:t>
            </ns3:r>
          </ns3:sub>
        </ns3:sSub>
      </ns3:oMath>
      <w:r>
        <w:t xml:space="preserve">), and deepened knowing-doing gap, forming a positive feedback loop (dashed red arrow). Dashed boxes at bottom indicate three intervention targets: pharmacological (</w:t>
      </w:r>
      <ns3:oMath>
        <ns3:r>
          <ns3:rPr>
            <ns3:sty ns3:val="p"/>
          </ns3:rPr>
          <ns3:t>↓</ns3:t>
        </ns3:r>
        <ns3:sSub>
          <ns3:e>
            <ns3:r>
              <ns3:rPr>
                <ns3:sty ns3:val="p"/>
              </ns3:rPr>
              <ns3:t>Ψ</ns3:t>
            </ns3:r>
          </ns3:e>
          <ns3:sub>
            <ns3:r>
              <ns3:t>f</ns3:t>
            </ns3:r>
          </ns3:sub>
        </ns3:sSub>
      </ns3:oMath>
      <w:r>
        <w:t xml:space="preserve">), behavioral (</w:t>
      </w:r>
      <ns3:oMath>
        <ns3:r>
          <ns3:rPr>
            <ns3:sty ns3:val="p"/>
          </ns3:rPr>
          <ns3:t>↑</ns3:t>
        </ns3:r>
        <ns3:sSub>
          <ns3:e>
            <ns3:r>
              <ns3:t>P</ns3:t>
            </ns3:r>
          </ns3:e>
          <ns3:sub>
            <ns3:r>
              <ns3:rPr>
                <ns3:nor/>
                <ns3:sty ns3:val="p"/>
              </ns3:rPr>
              <ns3:t>sel</ns3:t>
            </ns3:r>
          </ns3:sub>
        </ns3:sSub>
      </ns3:oMath>
      <w:r>
        <w:t xml:space="preserve">), and antioxidant (</w:t>
      </w:r>
      <ns3:oMath>
        <ns3:r>
          <ns3:rPr>
            <ns3:sty ns3:val="p"/>
          </ns3:rPr>
          <ns3:t>↑</ns3:t>
        </ns3:r>
      </ns3:oMath>
      <w:r>
        <w:t xml:space="preserve"> </w:t>
      </w:r>
      <w:r>
        <w:t xml:space="preserve">clearance).</w:t>
      </w:r>
    </w:p>
    <w:p>
      <w:pPr>
        <w:pStyle w:val="BodyText"/>
      </w:pPr>
      <w:r>
        <w:rPr>
          <w:b/>
          <w:bCs/>
        </w:rPr>
        <w:t xml:space="preserve">Figure 4.</w:t>
      </w:r>
      <w:r>
        <w:t xml:space="preserve"> </w:t>
      </w:r>
      <w:r>
        <w:rPr>
          <w:i/>
          <w:iCs/>
        </w:rPr>
        <w:t xml:space="preserve">Predicted</w:t>
      </w:r>
      <w:r>
        <w:rPr>
          <w:i/>
          <w:iCs/>
        </w:rPr>
        <w:t xml:space="preserve"> </w:t>
      </w:r>
      <ns3:oMath>
        <ns3:sSub>
          <ns3:e>
            <ns3:r>
              <ns3:rPr>
                <ns3:sty ns3:val="p"/>
              </ns3:rPr>
              <ns3:t>Ψ</ns3:t>
            </ns3:r>
          </ns3:e>
          <ns3:sub>
            <ns3:r>
              <ns3:t>f</ns3:t>
            </ns3:r>
          </ns3:sub>
        </ns3:sSub>
      </ns3:oMath>
      <w:r>
        <w:rPr>
          <w:i/>
          <w:iCs/>
        </w:rPr>
        <w:t xml:space="preserve"> </w:t>
      </w:r>
      <w:r>
        <w:rPr>
          <w:i/>
          <w:iCs/>
        </w:rPr>
        <w:t xml:space="preserve">proxy signatures across clinical conditions.</w:t>
      </w:r>
      <w:r>
        <w:t xml:space="preserve"> </w:t>
      </w:r>
      <w:r>
        <w:t xml:space="preserve">Radar chart showing disorder-specific friction profiles for healthy controls (green), major depressive disorder (red), obsessive-compulsive disorder (purple), and Parkinson’s disease (orange) across ten proxy measures. Higher values indicate greater impairment or higher executive friction. These predictions constitute falsifiable claims derived from the</w:t>
      </w:r>
      <w:r>
        <w:t xml:space="preserve"> </w:t>
      </w:r>
      <ns3:oMath>
        <ns3:sSub>
          <ns3:e>
            <ns3:r>
              <ns3:rPr>
                <ns3:sty ns3:val="p"/>
              </ns3:rPr>
              <ns3:t>Ψ</ns3:t>
            </ns3:r>
          </ns3:e>
          <ns3:sub>
            <ns3:r>
              <ns3:t>f</ns3:t>
            </ns3:r>
          </ns3:sub>
        </ns3:sSub>
      </ns3:oMath>
      <w:r>
        <w:t xml:space="preserve"> </w:t>
      </w:r>
      <w:r>
        <w:t xml:space="preserve">framework.</w:t>
      </w:r>
    </w:p>
    <w:p>
      <w:pPr>
        <w:pStyle w:val="BodyText"/>
      </w:pPr>
      <w:r>
        <w:rPr>
          <w:b/>
          <w:bCs/>
        </w:rPr>
        <w:t xml:space="preserve">Figure 5.</w:t>
      </w:r>
      <w:r>
        <w:t xml:space="preserve"> </w:t>
      </w:r>
      <w:r>
        <w:rPr>
          <w:i/>
          <w:iCs/>
        </w:rPr>
        <w:t xml:space="preserve">Core-chain protocol and critical-load prediction.</w:t>
      </w:r>
      <w:r>
        <w:t xml:space="preserve"> </w:t>
      </w:r>
      <w:r>
        <w:t xml:space="preserve">(A) Low-cost protocol for H72 and H-NEURO-EXEC-01, integrating two prompt contexts (neutral factual retell vs self-decision narrative), behavioral battery, HRV/SCR recording, appraisal ratings, and NLP extraction for latent-factor estimation. Baseline load is estimated as</w:t>
      </w:r>
      <w:r>
        <w:t xml:space="preserve"> </w:t>
      </w:r>
      <ns3:oMath>
        <ns3:sSup>
          <ns3:e>
            <ns3:r>
              <ns3:t>ρ</ns3:t>
            </ns3:r>
          </ns3:e>
          <ns3:sup>
            <ns3:r>
              <ns3:rPr>
                <ns3:sty ns3:val="p"/>
              </ns3:rPr>
              <ns3:t>*</ns3:t>
            </ns3:r>
          </ns3:sup>
        </ns3:sSup>
        <ns3:r>
          <ns3:rPr>
            <ns3:sty ns3:val="p"/>
          </ns3:rPr>
          <ns3:t>=</ns3:t>
        </ns3:r>
        <ns3:r>
          <ns3:t>z</ns3:t>
        </ns3:r>
        <ns3:r>
          <ns3:rPr>
            <ns3:sty ns3:val="p"/>
          </ns3:rPr>
          <ns3:t>(</ns3:t>
        </ns3:r>
        <ns3:sSubSup>
          <ns3:e>
            <ns3:r>
              <ns3:rPr>
                <ns3:sty ns3:val="p"/>
              </ns3:rPr>
              <ns3:t>Ψ</ns3:t>
            </ns3:r>
          </ns3:e>
          <ns3:sub>
            <ns3:r>
              <ns3:t>f</ns3:t>
            </ns3:r>
          </ns3:sub>
          <ns3:sup>
            <ns3:r>
              <ns3:rPr>
                <ns3:nor/>
                <ns3:sty ns3:val="p"/>
              </ns3:rPr>
              <ns3:t>baseline, latent</ns3:t>
            </ns3:r>
          </ns3:sup>
        </ns3:sSubSup>
        <ns3:r>
          <ns3:rPr>
            <ns3:sty ns3:val="p"/>
          </ns3:rPr>
          <ns3:t>)</ns3:t>
        </ns3:r>
        <ns3:r>
          <ns3:rPr>
            <ns3:sty ns3:val="p"/>
          </ns3:rPr>
          <ns3:t>−</ns3:t>
        </ns3:r>
        <ns3:r>
          <ns3:t>z</ns3:t>
        </ns3:r>
        <ns3:r>
          <ns3:rPr>
            <ns3:sty ns3:val="p"/>
          </ns3:rPr>
          <ns3:t>(</ns3:t>
        </ns3:r>
        <ns3:sSubSup>
          <ns3:e>
            <ns3:r>
              <ns3:t>P</ns3:t>
            </ns3:r>
          </ns3:e>
          <ns3:sub>
            <ns3:r>
              <ns3:rPr>
                <ns3:nor/>
                <ns3:sty ns3:val="p"/>
              </ns3:rPr>
              <ns3:t>sel</ns3:t>
            </ns3:r>
          </ns3:sub>
          <ns3:sup>
            <ns3:r>
              <ns3:rPr>
                <ns3:nor/>
                <ns3:sty ns3:val="p"/>
              </ns3:rPr>
              <ns3:t>proxy</ns3:t>
            </ns3:r>
          </ns3:sup>
        </ns3:sSubSup>
        <ns3:r>
          <ns3:rPr>
            <ns3:sty ns3:val="p"/>
          </ns3:rPr>
          <ns3:t>)</ns3:t>
        </ns3:r>
      </ns3:oMath>
      <w:r>
        <w:t xml:space="preserve"> </w:t>
      </w:r>
      <w:r>
        <w:t xml:space="preserve">(Eq. 7c) in primary analyses; ratio-based</w:t>
      </w:r>
      <w:r>
        <w:t xml:space="preserve"> </w:t>
      </w:r>
      <ns3:oMath>
        <ns3:r>
          <ns3:t>ρ</ns3:t>
        </ns3:r>
      </ns3:oMath>
      <w:r>
        <w:t xml:space="preserve"> </w:t>
      </w:r>
      <w:r>
        <w:t xml:space="preserve">is sensitivity-only. (B) Predicted task-switch cost as a function of normalized load</w:t>
      </w:r>
      <w:r>
        <w:t xml:space="preserve"> </w:t>
      </w:r>
      <ns3:oMath>
        <ns3:r>
          <ns3:t>ρ</ns3:t>
        </ns3:r>
      </ns3:oMath>
      <w:r>
        <w:t xml:space="preserve">: the saturation model (solid red) includes a critical point</w:t>
      </w:r>
      <w:r>
        <w:t xml:space="preserve"> </w:t>
      </w:r>
      <ns3:oMath>
        <ns3:sSub>
          <ns3:e>
            <ns3:r>
              <ns3:t>ρ</ns3:t>
            </ns3:r>
          </ns3:e>
          <ns3:sub>
            <ns3:r>
              <ns3:t>c</ns3:t>
            </ns3:r>
          </ns3:sub>
        </ns3:sSub>
      </ns3:oMath>
      <w:r>
        <w:t xml:space="preserve"> </w:t>
      </w:r>
      <w:r>
        <w:t xml:space="preserve">and nonlinear escalation into a</w:t>
      </w:r>
      <w:r>
        <w:t xml:space="preserve"> </w:t>
      </w:r>
      <w:r>
        <w:t xml:space="preserve">“know but can’t do”</w:t>
      </w:r>
      <w:r>
        <w:t xml:space="preserve"> </w:t>
      </w:r>
      <w:r>
        <w:t xml:space="preserve">zone, while the additive model (dashed gray) predicts linear increase.</w:t>
      </w:r>
    </w:p>
    <w:bookmarkEnd w:id="59"/>
    <w:bookmarkStart w:id="60" w:name="tables"/>
    <w:p>
      <w:pPr>
        <w:pStyle w:val="Heading2"/>
      </w:pPr>
      <w:r>
        <w:t xml:space="preserve">Tables</w:t>
      </w:r>
    </w:p>
    <w:p>
      <w:pPr>
        <w:pStyle w:val="FirstParagraph"/>
      </w:pPr>
      <w:r>
        <w:rPr>
          <w:b/>
          <w:bCs/>
        </w:rPr>
        <w:t xml:space="preserve">Table 1. Equation-to-proxy mapping for core and expansion layers.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term</w:t>
            </w:r>
          </w:p>
        </w:tc>
        <w:tc>
          <w:tcPr/>
          <w:p>
            <w:pPr>
              <w:pStyle w:val="Compact"/>
            </w:pPr>
            <w:r>
              <w:t xml:space="preserve">Functional interpretation</w:t>
            </w:r>
          </w:p>
        </w:tc>
        <w:tc>
          <w:tcPr/>
          <w:p>
            <w:pPr>
              <w:pStyle w:val="Compact"/>
            </w:pPr>
            <w:r>
              <w:t xml:space="preserve">Core measurement mapping</w:t>
            </w:r>
          </w:p>
        </w:tc>
        <w:tc>
          <w:tcPr/>
          <w:p>
            <w:pPr>
              <w:pStyle w:val="Compact"/>
            </w:pPr>
            <w:r>
              <w:t xml:space="preserve">Expansion mapping</w:t>
            </w:r>
          </w:p>
        </w:tc>
      </w:tr>
      <w:tr>
        <w:tc>
          <w:tcPr/>
          <w:p>
            <w:pPr>
              <w:pStyle w:val="Compact"/>
            </w:pP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in Eq. (5)</w:t>
            </w:r>
          </w:p>
        </w:tc>
        <w:tc>
          <w:tcPr/>
          <w:p>
            <w:pPr>
              <w:pStyle w:val="Compact"/>
            </w:pPr>
            <w:r>
              <w:t xml:space="preserve">Available control budget</w:t>
            </w:r>
          </w:p>
        </w:tc>
        <w:tc>
          <w:tcPr/>
          <w:p>
            <w:pPr>
              <w:pStyle w:val="Compact"/>
            </w:pPr>
            <w:r>
              <w:t xml:space="preserve">HRV recovery slope, SCR recovery profile, diurnal cortisol slope</w:t>
            </w:r>
          </w:p>
        </w:tc>
        <w:tc>
          <w:tcPr/>
          <w:p>
            <w:pPr>
              <w:pStyle w:val="Compact"/>
            </w:pPr>
            <w:r>
              <w:t xml:space="preserve">PCI and network-level complexity indices</w:t>
            </w:r>
          </w:p>
        </w:tc>
      </w:tr>
      <w:tr>
        <w:tc>
          <w:tcPr/>
          <w:p>
            <w:pPr>
              <w:pStyle w:val="Compact"/>
            </w:pPr>
            <ns3:oMath>
              <ns3:sSub>
                <ns3:e>
                  <ns3:r>
                    <ns3:rPr>
                      <ns3:sty ns3:val="p"/>
                    </ns3:rPr>
                    <ns3:t>Ψ</ns3:t>
                  </ns3:r>
                </ns3:e>
                <ns3:sub>
                  <ns3:r>
                    <ns3:t>f</ns3:t>
                  </ns3:r>
                </ns3:sub>
              </ns3:sSub>
            </ns3:oMath>
            <w:r>
              <w:t xml:space="preserve"> </w:t>
            </w:r>
            <w:r>
              <w:t xml:space="preserve">in Eqs. (3a), (5), (7)</w:t>
            </w:r>
          </w:p>
        </w:tc>
        <w:tc>
          <w:tcPr/>
          <w:p>
            <w:pPr>
              <w:pStyle w:val="Compact"/>
            </w:pPr>
            <w:r>
              <w:t xml:space="preserve">Latent control cost</w:t>
            </w:r>
          </w:p>
        </w:tc>
        <w:tc>
          <w:tcPr/>
          <w:p>
            <w:pPr>
              <w:pStyle w:val="Compact"/>
            </w:pPr>
            <w:r>
              <w:t xml:space="preserve">Task-switch cost, Stroop interference, perseverative errors,</w:t>
            </w:r>
            <w:r>
              <w:t xml:space="preserve"> </w:t>
            </w:r>
            <ns3:oMath>
              <ns3:sSubSup>
                <ns3:e>
                  <ns3:r>
                    <ns3:t>μ</ns3:t>
                  </ns3:r>
                </ns3:e>
                <ns3:sub>
                  <ns3:r>
                    <ns3:rPr>
                      <ns3:nor/>
                      <ns3:sty ns3:val="p"/>
                    </ns3:rPr>
                    <ns3:t>sem</ns3:t>
                  </ns3:r>
                </ns3:sub>
                <ns3:sup>
                  <ns3:r>
                    <ns3:rPr>
                      <ns3:nor/>
                      <ns3:sty ns3:val="p"/>
                    </ns3:rPr>
                    <ns3:t>adj</ns3:t>
                  </ns3:r>
                </ns3:sup>
              </ns3:sSubSup>
            </ns3:oMath>
          </w:p>
        </w:tc>
        <w:tc>
          <w:tcPr/>
          <w:p>
            <w:pPr>
              <w:pStyle w:val="Compact"/>
            </w:pPr>
            <w:r>
              <w:t xml:space="preserve">ROS markers, Fisher-geometry metrics</w:t>
            </w:r>
          </w:p>
        </w:tc>
      </w:tr>
      <w:tr>
        <w:tc>
          <w:tcPr/>
          <w:p>
            <w:pPr>
              <w:pStyle w:val="Compact"/>
            </w:pPr>
            <ns3:oMath>
              <ns3:sSub>
                <ns3:e>
                  <ns3:r>
                    <ns3:t>S</ns3:t>
                  </ns3:r>
                </ns3:e>
                <ns3:sub>
                  <ns3:r>
                    <ns3:rPr>
                      <ns3:nor/>
                      <ns3:sty ns3:val="p"/>
                    </ns3:rPr>
                    <ns3:t>noise</ns3:t>
                  </ns3:r>
                </ns3:sub>
              </ns3:sSub>
            </ns3:oMath>
            <w:r>
              <w:t xml:space="preserve"> </w:t>
            </w:r>
            <w:r>
              <w:t xml:space="preserve">in Eq. (5)</w:t>
            </w:r>
          </w:p>
        </w:tc>
        <w:tc>
          <w:tcPr/>
          <w:p>
            <w:pPr>
              <w:pStyle w:val="Compact"/>
            </w:pPr>
            <w:r>
              <w:t xml:space="preserve">Environmental/task uncertainty load</w:t>
            </w:r>
          </w:p>
        </w:tc>
        <w:tc>
          <w:tcPr/>
          <w:p>
            <w:pPr>
              <w:pStyle w:val="Compact"/>
            </w:pPr>
            <w:r>
              <w:t xml:space="preserve">Conflict level manipulations, distractor entropy, prompt variability controls</w:t>
            </w:r>
          </w:p>
        </w:tc>
        <w:tc>
          <w:tcPr/>
          <w:p>
            <w:pPr>
              <w:pStyle w:val="Compact"/>
            </w:pPr>
            <w:r>
              <w:t xml:space="preserve">Ecological noise paradigms</w:t>
            </w:r>
          </w:p>
        </w:tc>
      </w:tr>
      <w:tr>
        <w:tc>
          <w:tcPr/>
          <w:p>
            <w:pPr>
              <w:pStyle w:val="Compact"/>
            </w:pP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in Eq. (5)</w:t>
            </w:r>
          </w:p>
        </w:tc>
        <w:tc>
          <w:tcPr/>
          <w:p>
            <w:pPr>
              <w:pStyle w:val="Compact"/>
            </w:pPr>
            <w:r>
              <w:t xml:space="preserve">Task-state order/stability</w:t>
            </w:r>
          </w:p>
        </w:tc>
        <w:tc>
          <w:tcPr/>
          <w:p>
            <w:pPr>
              <w:pStyle w:val="Compact"/>
            </w:pPr>
            <ns3:oMath>
              <ns3:sSup>
                <ns3:e>
                  <ns3:r>
                    <ns3:t>q</ns3:t>
                  </ns3:r>
                </ns3:e>
                <ns3:sup>
                  <ns3:r>
                    <ns3:rPr>
                      <ns3:sty ns3:val="p"/>
                    </ns3:rPr>
                    <ns3:t>*</ns3:t>
                  </ns3:r>
                </ns3:sup>
              </ns3:sSup>
            </ns3:oMath>
            <w:r>
              <w:t xml:space="preserve"> </w:t>
            </w:r>
            <w:r>
              <w:t xml:space="preserve">from error entropy and RT variability (Eq. 5q)</w:t>
            </w:r>
          </w:p>
        </w:tc>
        <w:tc>
          <w:tcPr/>
          <w:p>
            <w:pPr>
              <w:pStyle w:val="Compact"/>
            </w:pPr>
            <w:r>
              <w:t xml:space="preserve">Compression-ratio or sequence-complexity alternatives</w:t>
            </w:r>
          </w:p>
        </w:tc>
      </w:tr>
      <w:tr>
        <w:tc>
          <w:tcPr/>
          <w:p>
            <w:pPr>
              <w:pStyle w:val="Compact"/>
            </w:pPr>
            <w:r>
              <w:t xml:space="preserve">Appraisal</w:t>
            </w:r>
            <ns3:oMath>
              <ns3:r>
                <ns3:rPr>
                  <ns3:sty ns3:val="p"/>
                </ns3:rPr>
                <ns3:t>(</ns3:t>
              </ns3:r>
              <ns3:r>
                <ns3:t>t</ns3:t>
              </ns3:r>
              <ns3:r>
                <ns3:rPr>
                  <ns3:sty ns3:val="p"/>
                </ns3:rPr>
                <ns3:t>)</ns3:t>
              </ns3:r>
            </ns3:oMath>
            <w:r>
              <w:t xml:space="preserve"> </w:t>
            </w:r>
            <w:r>
              <w:t xml:space="preserve">in Eq. (4)</w:t>
            </w:r>
          </w:p>
        </w:tc>
        <w:tc>
          <w:tcPr/>
          <w:p>
            <w:pPr>
              <w:pStyle w:val="Compact"/>
            </w:pPr>
            <w:r>
              <w:t xml:space="preserve">Contextual threat/challenge evaluation</w:t>
            </w:r>
          </w:p>
        </w:tc>
        <w:tc>
          <w:tcPr/>
          <w:p>
            <w:pPr>
              <w:pStyle w:val="Compact"/>
            </w:pPr>
            <w:r>
              <w:t xml:space="preserve">Trial/block-wise self-report rating (0-100 challenge/threat scale)</w:t>
            </w:r>
          </w:p>
        </w:tc>
        <w:tc>
          <w:tcPr/>
          <w:p>
            <w:pPr>
              <w:pStyle w:val="Compact"/>
            </w:pPr>
            <w:r>
              <w:t xml:space="preserve">Multi-item stress appraisal inventories</w:t>
            </w:r>
          </w:p>
        </w:tc>
      </w:tr>
      <w:tr>
        <w:tc>
          <w:tcPr/>
          <w:p>
            <w:pPr>
              <w:pStyle w:val="Compact"/>
            </w:pPr>
            <ns3:oMath>
              <ns3:r>
                <ns3:t>u</ns3:t>
              </ns3:r>
              <ns3:r>
                <ns3:rPr>
                  <ns3:sty ns3:val="p"/>
                </ns3:rPr>
                <ns3:t>(</ns3:t>
              </ns3:r>
              <ns3:r>
                <ns3:t>t</ns3:t>
              </ns3:r>
              <ns3:r>
                <ns3:rPr>
                  <ns3:sty ns3:val="p"/>
                </ns3:rPr>
                <ns3:t>)</ns3:t>
              </ns3:r>
            </ns3:oMath>
            <w:r>
              <w:t xml:space="preserve"> </w:t>
            </w:r>
            <w:r>
              <w:t xml:space="preserve">in Eq. (3c)</w:t>
            </w:r>
          </w:p>
        </w:tc>
        <w:tc>
          <w:tcPr/>
          <w:p>
            <w:pPr>
              <w:pStyle w:val="Compact"/>
            </w:pPr>
            <w:r>
              <w:t xml:space="preserve">Momentary control input effort</w:t>
            </w:r>
          </w:p>
        </w:tc>
        <w:tc>
          <w:tcPr/>
          <w:p>
            <w:pPr>
              <w:pStyle w:val="Compact"/>
            </w:pPr>
            <w:r>
              <w:t xml:space="preserve">Trial-wise inhibitory/control demand (e.g., incongruent Stroop, switch trials, rule override trials)</w:t>
            </w:r>
          </w:p>
        </w:tc>
        <w:tc>
          <w:tcPr/>
          <w:p>
            <w:pPr>
              <w:pStyle w:val="Compact"/>
            </w:pPr>
            <w:r>
              <w:t xml:space="preserve">Neural control-energy surrogates from EEG/TMS paradigms</w:t>
            </w:r>
          </w:p>
        </w:tc>
      </w:tr>
      <w:tr>
        <w:tc>
          <w:tcPr/>
          <w:p>
            <w:pPr>
              <w:pStyle w:val="Compact"/>
            </w:pPr>
            <ns3:oMath>
              <ns3:r>
                <ns3:t>ρ</ns3:t>
              </ns3:r>
            </ns3:oMath>
            <w:r>
              <w:t xml:space="preserve"> </w:t>
            </w:r>
            <w:r>
              <w:t xml:space="preserve">and</w:t>
            </w:r>
            <w:r>
              <w:t xml:space="preserve"> </w:t>
            </w:r>
            <ns3:oMath>
              <ns3:sSup>
                <ns3:e>
                  <ns3:r>
                    <ns3:t>ρ</ns3:t>
                  </ns3:r>
                </ns3:e>
                <ns3:sup>
                  <ns3:r>
                    <ns3:rPr>
                      <ns3:sty ns3:val="p"/>
                    </ns3:rPr>
                    <ns3:t>*</ns3:t>
                  </ns3:r>
                </ns3:sup>
              </ns3:sSup>
            </ns3:oMath>
            <w:r>
              <w:t xml:space="preserve"> </w:t>
            </w:r>
            <w:r>
              <w:t xml:space="preserve">in Eqs. (7a, 7c)</w:t>
            </w:r>
          </w:p>
        </w:tc>
        <w:tc>
          <w:tcPr/>
          <w:p>
            <w:pPr>
              <w:pStyle w:val="Compact"/>
            </w:pPr>
            <w:r>
              <w:t xml:space="preserve">Normalized friction load</w:t>
            </w:r>
          </w:p>
        </w:tc>
        <w:tc>
          <w:tcPr/>
          <w:p>
            <w:pPr>
              <w:pStyle w:val="Compact"/>
            </w:pPr>
            <w:r>
              <w:t xml:space="preserve">Primary:</w:t>
            </w:r>
            <w:r>
              <w:t xml:space="preserve"> </w:t>
            </w:r>
            <ns3:oMath>
              <ns3:sSup>
                <ns3:e>
                  <ns3:r>
                    <ns3:t>ρ</ns3:t>
                  </ns3:r>
                </ns3:e>
                <ns3:sup>
                  <ns3:r>
                    <ns3:rPr>
                      <ns3:sty ns3:val="p"/>
                    </ns3:rPr>
                    <ns3:t>*</ns3:t>
                  </ns3:r>
                </ns3:sup>
              </ns3:sSup>
            </ns3:oMath>
            <w:r>
              <w:t xml:space="preserve"> </w:t>
            </w:r>
            <w:r>
              <w:t xml:space="preserve">(score-based); sensitivity: ratio-based</w:t>
            </w:r>
            <w:r>
              <w:t xml:space="preserve"> </w:t>
            </w:r>
            <ns3:oMath>
              <ns3:r>
                <ns3:t>ρ</ns3:t>
              </ns3:r>
            </ns3:oMath>
          </w:p>
        </w:tc>
        <w:tc>
          <w:tcPr/>
          <w:p>
            <w:pPr>
              <w:pStyle w:val="Compact"/>
            </w:pPr>
            <w:r>
              <w:t xml:space="preserve">Cross-modal validation with neural/biochemical layers</w:t>
            </w:r>
          </w:p>
        </w:tc>
      </w:tr>
    </w:tbl>
    <w:p>
      <w:pPr>
        <w:pStyle w:val="BodyText"/>
      </w:pPr>
      <w:r>
        <w:rPr>
          <w:b/>
          <w:bCs/>
        </w:rPr>
        <w:t xml:space="preserve">Table 2. Predicted</w:t>
      </w:r>
      <w:r>
        <w:rPr>
          <w:b/>
          <w:bCs/>
        </w:rPr>
        <w:t xml:space="preserve"> </w:t>
      </w:r>
      <ns3:oMath>
        <ns3:sSub>
          <ns3:e>
            <ns3:r>
              <ns3:rPr>
                <ns3:sty ns3:val="p"/>
              </ns3:rPr>
              <ns3:t>Ψ</ns3:t>
            </ns3:r>
          </ns3:e>
          <ns3:sub>
            <ns3:r>
              <ns3:t>f</ns3:t>
            </ns3:r>
          </ns3:sub>
        </ns3:sSub>
      </ns3:oMath>
      <w:r>
        <w:rPr>
          <w:b/>
          <w:bCs/>
        </w:rPr>
        <w:t xml:space="preserve"> </w:t>
      </w:r>
      <w:r>
        <w:rPr>
          <w:b/>
          <w:bCs/>
        </w:rPr>
        <w:t xml:space="preserve">proxy signatures across clinical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Proxy</w:t>
            </w:r>
          </w:p>
        </w:tc>
        <w:tc>
          <w:tcPr/>
          <w:p>
            <w:pPr>
              <w:pStyle w:val="Compact"/>
            </w:pPr>
            <w:r>
              <w:t xml:space="preserve">HC (reference)</w:t>
            </w:r>
          </w:p>
        </w:tc>
        <w:tc>
          <w:tcPr/>
          <w:p>
            <w:pPr>
              <w:pStyle w:val="Compact"/>
            </w:pPr>
            <w:r>
              <w:t xml:space="preserve">MDD (predicted deviation)</w:t>
            </w:r>
          </w:p>
        </w:tc>
        <w:tc>
          <w:tcPr/>
          <w:p>
            <w:pPr>
              <w:pStyle w:val="Compact"/>
            </w:pPr>
            <w:r>
              <w:t xml:space="preserve">OCD (predicted deviation)</w:t>
            </w:r>
          </w:p>
        </w:tc>
        <w:tc>
          <w:tcPr/>
          <w:p>
            <w:pPr>
              <w:pStyle w:val="Compact"/>
            </w:pPr>
            <w:r>
              <w:t xml:space="preserve">PD (predicted deviation)</w:t>
            </w:r>
          </w:p>
        </w:tc>
        <w:tc>
          <w:tcPr/>
          <w:p>
            <w:pPr>
              <w:pStyle w:val="Compact"/>
            </w:pPr>
            <w:r>
              <w:t xml:space="preserve">If wrong, implication</w:t>
            </w:r>
          </w:p>
        </w:tc>
      </w:tr>
      <w:tr>
        <w:tc>
          <w:tcPr/>
          <w:p>
            <w:pPr>
              <w:pStyle w:val="Compact"/>
            </w:pPr>
            <w:r>
              <w:t xml:space="preserve">Task-switch cost (RT)</w:t>
            </w:r>
          </w:p>
        </w:tc>
        <w:tc>
          <w:tcPr/>
          <w:p>
            <w:pPr>
              <w:pStyle w:val="Compact"/>
            </w:pPr>
            <w:r>
              <w:t xml:space="preserve">reference</w:t>
            </w:r>
          </w:p>
        </w:tc>
        <w:tc>
          <w:tcPr/>
          <w:p>
            <w:pPr>
              <w:pStyle w:val="Compact"/>
            </w:pPr>
            <w:r>
              <w:t xml:space="preserve">moderate increase</w:t>
            </w:r>
          </w:p>
        </w:tc>
        <w:tc>
          <w:tcPr/>
          <w:p>
            <w:pPr>
              <w:pStyle w:val="Compact"/>
            </w:pPr>
            <w:r>
              <w:rPr>
                <w:b/>
                <w:bCs/>
              </w:rPr>
              <w:t xml:space="preserve">marked increase (domain-specific)†</w:t>
            </w:r>
          </w:p>
        </w:tc>
        <w:tc>
          <w:tcPr/>
          <w:p>
            <w:pPr>
              <w:pStyle w:val="Compact"/>
            </w:pPr>
            <w:r>
              <w:rPr>
                <w:b/>
                <w:bCs/>
              </w:rPr>
              <w:t xml:space="preserve">marked motor increase; limited cognitive increase in early PD†</w:t>
            </w:r>
          </w:p>
        </w:tc>
        <w:tc>
          <w:tcPr/>
          <w:p>
            <w:pPr>
              <w:pStyle w:val="Compact"/>
            </w:pPr>
            <w:r>
              <w:t xml:space="preserve">If PD shows generalized (not motor-specific) elevation, gate-degradation model needs revision</w:t>
            </w:r>
          </w:p>
        </w:tc>
      </w:tr>
      <w:tr>
        <w:tc>
          <w:tcPr/>
          <w:p>
            <w:pPr>
              <w:pStyle w:val="Compact"/>
            </w:pPr>
            <w:r>
              <w:t xml:space="preserve">Perseverative errors</w:t>
            </w:r>
          </w:p>
        </w:tc>
        <w:tc>
          <w:tcPr/>
          <w:p>
            <w:pPr>
              <w:pStyle w:val="Compact"/>
            </w:pPr>
            <w:r>
              <w:t xml:space="preserve">reference</w:t>
            </w:r>
          </w:p>
        </w:tc>
        <w:tc>
          <w:tcPr/>
          <w:p>
            <w:pPr>
              <w:pStyle w:val="Compact"/>
            </w:pPr>
            <w:r>
              <w:t xml:space="preserve">mild-to-moderate increase</w:t>
            </w:r>
          </w:p>
        </w:tc>
        <w:tc>
          <w:tcPr/>
          <w:p>
            <w:pPr>
              <w:pStyle w:val="Compact"/>
            </w:pPr>
            <w:r>
              <w:t xml:space="preserve">marked increase</w:t>
            </w:r>
          </w:p>
        </w:tc>
        <w:tc>
          <w:tcPr/>
          <w:p>
            <w:pPr>
              <w:pStyle w:val="Compact"/>
            </w:pPr>
            <w:r>
              <w:t xml:space="preserve">small increase</w:t>
            </w:r>
          </w:p>
        </w:tc>
        <w:tc>
          <w:tcPr/>
          <w:p>
            <w:pPr>
              <w:pStyle w:val="Compact"/>
            </w:pPr>
            <w:r>
              <w:t xml:space="preserve">—</w:t>
            </w:r>
          </w:p>
        </w:tc>
      </w:tr>
      <w:tr>
        <w:tc>
          <w:tcPr/>
          <w:p>
            <w:pPr>
              <w:pStyle w:val="Compact"/>
            </w:pPr>
            <w:r>
              <w:t xml:space="preserve">Temporal discounting</w:t>
            </w:r>
          </w:p>
        </w:tc>
        <w:tc>
          <w:tcPr/>
          <w:p>
            <w:pPr>
              <w:pStyle w:val="Compact"/>
            </w:pPr>
            <w:r>
              <w:t xml:space="preserve">reference</w:t>
            </w:r>
          </w:p>
        </w:tc>
        <w:tc>
          <w:tcPr/>
          <w:p>
            <w:pPr>
              <w:pStyle w:val="Compact"/>
            </w:pPr>
            <w:r>
              <w:t xml:space="preserve">moderate increase</w:t>
            </w:r>
          </w:p>
        </w:tc>
        <w:tc>
          <w:tcPr/>
          <w:p>
            <w:pPr>
              <w:pStyle w:val="Compact"/>
            </w:pPr>
            <w:r>
              <w:t xml:space="preserve">small-to-moderate increase</w:t>
            </w:r>
          </w:p>
        </w:tc>
        <w:tc>
          <w:tcPr/>
          <w:p>
            <w:pPr>
              <w:pStyle w:val="Compact"/>
            </w:pPr>
            <w:r>
              <w:t xml:space="preserve">little or no systematic increase</w:t>
            </w:r>
          </w:p>
        </w:tc>
        <w:tc>
          <w:tcPr/>
          <w:p>
            <w:pPr>
              <w:pStyle w:val="Compact"/>
            </w:pPr>
            <w:r>
              <w:t xml:space="preserve">—</w:t>
            </w:r>
          </w:p>
        </w:tc>
      </w:tr>
      <w:tr>
        <w:tc>
          <w:tcPr/>
          <w:p>
            <w:pPr>
              <w:pStyle w:val="Compact"/>
            </w:pPr>
            <w:r>
              <w:t xml:space="preserve">HRV recovery slope</w:t>
            </w:r>
          </w:p>
        </w:tc>
        <w:tc>
          <w:tcPr/>
          <w:p>
            <w:pPr>
              <w:pStyle w:val="Compact"/>
            </w:pPr>
            <w:r>
              <w:t xml:space="preserve">reference</w:t>
            </w:r>
          </w:p>
        </w:tc>
        <w:tc>
          <w:tcPr/>
          <w:p>
            <w:pPr>
              <w:pStyle w:val="Compact"/>
            </w:pPr>
            <w:r>
              <w:t xml:space="preserve">slower recovery</w:t>
            </w:r>
          </w:p>
        </w:tc>
        <w:tc>
          <w:tcPr/>
          <w:p>
            <w:pPr>
              <w:pStyle w:val="Compact"/>
            </w:pPr>
            <w:r>
              <w:t xml:space="preserve">mildly slower recovery</w:t>
            </w:r>
          </w:p>
        </w:tc>
        <w:tc>
          <w:tcPr/>
          <w:p>
            <w:pPr>
              <w:pStyle w:val="Compact"/>
            </w:pPr>
            <w:r>
              <w:t xml:space="preserve">mildly slower recovery</w:t>
            </w:r>
          </w:p>
        </w:tc>
        <w:tc>
          <w:tcPr/>
          <w:p>
            <w:pPr>
              <w:pStyle w:val="Compact"/>
            </w:pPr>
            <w:r>
              <w:t xml:space="preserve">—</w:t>
            </w:r>
          </w:p>
        </w:tc>
      </w:tr>
      <w:tr>
        <w:tc>
          <w:tcPr/>
          <w:p>
            <w:pPr>
              <w:pStyle w:val="Compact"/>
            </w:pPr>
            <w:r>
              <w:t xml:space="preserve">Cortisol curve</w:t>
            </w:r>
          </w:p>
        </w:tc>
        <w:tc>
          <w:tcPr/>
          <w:p>
            <w:pPr>
              <w:pStyle w:val="Compact"/>
            </w:pPr>
            <w:r>
              <w:t xml:space="preserve">reference</w:t>
            </w:r>
          </w:p>
        </w:tc>
        <w:tc>
          <w:tcPr/>
          <w:p>
            <w:pPr>
              <w:pStyle w:val="Compact"/>
            </w:pPr>
            <w:r>
              <w:t xml:space="preserve">flatter diurnal profile</w:t>
            </w:r>
          </w:p>
        </w:tc>
        <w:tc>
          <w:tcPr/>
          <w:p>
            <w:pPr>
              <w:pStyle w:val="Compact"/>
            </w:pPr>
            <w:r>
              <w:t xml:space="preserve">near-control range</w:t>
            </w:r>
          </w:p>
        </w:tc>
        <w:tc>
          <w:tcPr/>
          <w:p>
            <w:pPr>
              <w:pStyle w:val="Compact"/>
            </w:pPr>
            <w:r>
              <w:t xml:space="preserve">near-control range</w:t>
            </w:r>
          </w:p>
        </w:tc>
        <w:tc>
          <w:tcPr/>
          <w:p>
            <w:pPr>
              <w:pStyle w:val="Compact"/>
            </w:pPr>
            <w:r>
              <w:t xml:space="preserve">—</w:t>
            </w:r>
          </w:p>
        </w:tc>
      </w:tr>
      <w:tr>
        <w:tc>
          <w:tcPr/>
          <w:p>
            <w:pPr>
              <w:pStyle w:val="Compact"/>
            </w:pPr>
            <w:r>
              <w:t xml:space="preserve">SCR during conflict</w:t>
            </w:r>
          </w:p>
        </w:tc>
        <w:tc>
          <w:tcPr/>
          <w:p>
            <w:pPr>
              <w:pStyle w:val="Compact"/>
            </w:pPr>
            <w:r>
              <w:t xml:space="preserve">reference</w:t>
            </w:r>
          </w:p>
        </w:tc>
        <w:tc>
          <w:tcPr/>
          <w:p>
            <w:pPr>
              <w:pStyle w:val="Compact"/>
            </w:pPr>
            <w:r>
              <w:t xml:space="preserve">often blunted or dysregulated</w:t>
            </w:r>
          </w:p>
        </w:tc>
        <w:tc>
          <w:tcPr/>
          <w:p>
            <w:pPr>
              <w:pStyle w:val="Compact"/>
            </w:pPr>
            <w:r>
              <w:t xml:space="preserve">elevated for obsession-relevant cues</w:t>
            </w:r>
          </w:p>
        </w:tc>
        <w:tc>
          <w:tcPr/>
          <w:p>
            <w:pPr>
              <w:pStyle w:val="Compact"/>
            </w:pPr>
            <w:r>
              <w:t xml:space="preserve">elevated during initiation attempts</w:t>
            </w:r>
          </w:p>
        </w:tc>
        <w:tc>
          <w:tcPr/>
          <w:p>
            <w:pPr>
              <w:pStyle w:val="Compact"/>
            </w:pPr>
            <w:r>
              <w:t xml:space="preserve">—</w:t>
            </w:r>
          </w:p>
        </w:tc>
      </w:tr>
      <w:tr>
        <w:tc>
          <w:tcPr/>
          <w:p>
            <w:pPr>
              <w:pStyle w:val="Compact"/>
            </w:pPr>
            <w:r>
              <w:t xml:space="preserve">ROS biomarkers (expansion)</w:t>
            </w:r>
          </w:p>
        </w:tc>
        <w:tc>
          <w:tcPr/>
          <w:p>
            <w:pPr>
              <w:pStyle w:val="Compact"/>
            </w:pPr>
            <w:r>
              <w:t xml:space="preserve">reference</w:t>
            </w:r>
          </w:p>
        </w:tc>
        <w:tc>
          <w:tcPr/>
          <w:p>
            <w:pPr>
              <w:pStyle w:val="Compact"/>
            </w:pPr>
            <w:r>
              <w:t xml:space="preserve">elevated in expansion studies</w:t>
            </w:r>
          </w:p>
        </w:tc>
        <w:tc>
          <w:tcPr/>
          <w:p>
            <w:pPr>
              <w:pStyle w:val="Compact"/>
            </w:pPr>
            <w:r>
              <w:t xml:space="preserve">near-control range</w:t>
            </w:r>
          </w:p>
        </w:tc>
        <w:tc>
          <w:tcPr/>
          <w:p>
            <w:pPr>
              <w:pStyle w:val="Compact"/>
            </w:pPr>
            <w:r>
              <w:t xml:space="preserve">mild elevation possible</w:t>
            </w:r>
          </w:p>
        </w:tc>
        <w:tc>
          <w:tcPr/>
          <w:p>
            <w:pPr>
              <w:pStyle w:val="Compact"/>
            </w:pPr>
            <w:r>
              <w:t xml:space="preserve">—</w:t>
            </w:r>
          </w:p>
        </w:tc>
      </w:tr>
      <w:tr>
        <w:tc>
          <w:tcPr/>
          <w:p>
            <w:pPr>
              <w:pStyle w:val="Compact"/>
            </w:pPr>
            <w:r>
              <w:t xml:space="preserve">PCI (expansion)</w:t>
            </w:r>
          </w:p>
        </w:tc>
        <w:tc>
          <w:tcPr/>
          <w:p>
            <w:pPr>
              <w:pStyle w:val="Compact"/>
            </w:pPr>
            <w:r>
              <w:t xml:space="preserve">reference</w:t>
            </w:r>
          </w:p>
        </w:tc>
        <w:tc>
          <w:tcPr/>
          <w:p>
            <w:pPr>
              <w:pStyle w:val="Compact"/>
            </w:pPr>
            <w:r>
              <w:t xml:space="preserve">reduced in expansion studies</w:t>
            </w:r>
          </w:p>
        </w:tc>
        <w:tc>
          <w:tcPr/>
          <w:p>
            <w:pPr>
              <w:pStyle w:val="Compact"/>
            </w:pPr>
            <w:r>
              <w:rPr>
                <w:b/>
                <w:bCs/>
              </w:rPr>
              <w:t xml:space="preserve">near-control range†</w:t>
            </w:r>
          </w:p>
        </w:tc>
        <w:tc>
          <w:tcPr/>
          <w:p>
            <w:pPr>
              <w:pStyle w:val="Compact"/>
            </w:pPr>
            <w:r>
              <w:t xml:space="preserve">motor-circuit reduction more likely than global reduction</w:t>
            </w:r>
          </w:p>
        </w:tc>
        <w:tc>
          <w:tcPr/>
          <w:p>
            <w:pPr>
              <w:pStyle w:val="Compact"/>
            </w:pPr>
            <w:r>
              <w:t xml:space="preserve">If OCD shows globally reduced PCI,</w:t>
            </w:r>
            <w:r>
              <w:t xml:space="preserve"> </w:t>
            </w:r>
            <w:r>
              <w:t xml:space="preserve">“stuck but not depleted”</w:t>
            </w:r>
            <w:r>
              <w:t xml:space="preserve"> </w:t>
            </w:r>
            <w:r>
              <w:t xml:space="preserve">model fails</w:t>
            </w:r>
          </w:p>
        </w:tc>
      </w:tr>
      <w:tr>
        <w:tc>
          <w:tcPr/>
          <w:p>
            <w:pPr>
              <w:pStyle w:val="Compact"/>
            </w:pPr>
            <w:r>
              <w:t xml:space="preserve">Theta-gamma coupling (expansion)</w:t>
            </w:r>
          </w:p>
        </w:tc>
        <w:tc>
          <w:tcPr/>
          <w:p>
            <w:pPr>
              <w:pStyle w:val="Compact"/>
            </w:pPr>
            <w:r>
              <w:t xml:space="preserve">reference</w:t>
            </w:r>
          </w:p>
        </w:tc>
        <w:tc>
          <w:tcPr/>
          <w:p>
            <w:pPr>
              <w:pStyle w:val="Compact"/>
            </w:pPr>
            <w:r>
              <w:t xml:space="preserve">degraded in expansion studies</w:t>
            </w:r>
          </w:p>
        </w:tc>
        <w:tc>
          <w:tcPr/>
          <w:p>
            <w:pPr>
              <w:pStyle w:val="Compact"/>
            </w:pPr>
            <w:r>
              <w:t xml:space="preserve">near-control range</w:t>
            </w:r>
          </w:p>
        </w:tc>
        <w:tc>
          <w:tcPr/>
          <w:p>
            <w:pPr>
              <w:pStyle w:val="Compact"/>
            </w:pPr>
            <w:r>
              <w:t xml:space="preserve">relatively preserved cognitive coupling</w:t>
            </w:r>
          </w:p>
        </w:tc>
        <w:tc>
          <w:tcPr/>
          <w:p>
            <w:pPr>
              <w:pStyle w:val="Compact"/>
            </w:pPr>
            <w:r>
              <w:t xml:space="preserve">—</w:t>
            </w:r>
          </w:p>
        </w:tc>
      </w:tr>
      <w:tr>
        <w:tc>
          <w:tcPr/>
          <w:p>
            <w:pPr>
              <w:pStyle w:val="Compact"/>
            </w:pPr>
            <ns3:oMath>
              <ns3:sSub>
                <ns3:e>
                  <ns3:r>
                    <ns3:t>μ</ns3:t>
                  </ns3:r>
                </ns3:e>
                <ns3:sub>
                  <ns3:r>
                    <ns3:rPr>
                      <ns3:nor/>
                      <ns3:sty ns3:val="p"/>
                    </ns3:rPr>
                    <ns3:t>sem</ns3:t>
                  </ns3:r>
                </ns3:sub>
              </ns3:sSub>
            </ns3:oMath>
          </w:p>
        </w:tc>
        <w:tc>
          <w:tcPr/>
          <w:p>
            <w:pPr>
              <w:pStyle w:val="Compact"/>
            </w:pPr>
            <w:r>
              <w:t xml:space="preserve">reference</w:t>
            </w:r>
          </w:p>
        </w:tc>
        <w:tc>
          <w:tcPr/>
          <w:p>
            <w:pPr>
              <w:pStyle w:val="Compact"/>
            </w:pPr>
            <w:r>
              <w:t xml:space="preserve">moderate elevation</w:t>
            </w:r>
          </w:p>
        </w:tc>
        <w:tc>
          <w:tcPr/>
          <w:p>
            <w:pPr>
              <w:pStyle w:val="Compact"/>
            </w:pPr>
            <w:r>
              <w:rPr>
                <w:b/>
                <w:bCs/>
              </w:rPr>
              <w:t xml:space="preserve">highest constraint-dominant elevation†</w:t>
            </w:r>
          </w:p>
        </w:tc>
        <w:tc>
          <w:tcPr/>
          <w:p>
            <w:pPr>
              <w:pStyle w:val="Compact"/>
            </w:pPr>
            <w:r>
              <w:t xml:space="preserve">elevation concentrated in action-initiation descriptions</w:t>
            </w:r>
          </w:p>
        </w:tc>
        <w:tc>
          <w:tcPr/>
          <w:p>
            <w:pPr>
              <w:pStyle w:val="Compact"/>
            </w:pPr>
            <w:r>
              <w:t xml:space="preserve">If OCD does not show highest</w:t>
            </w:r>
            <w:r>
              <w:t xml:space="preserve"> </w:t>
            </w:r>
            <ns3:oMath>
              <ns3:sSub>
                <ns3:e>
                  <ns3:r>
                    <ns3:t>μ</ns3:t>
                  </ns3:r>
                </ns3:e>
                <ns3:sub>
                  <ns3:r>
                    <ns3:rPr>
                      <ns3:nor/>
                      <ns3:sty ns3:val="p"/>
                    </ns3:rPr>
                    <ns3:t>sem</ns3:t>
                  </ns3:r>
                </ns3:sub>
              </ns3:sSub>
            </ns3:oMath>
            <w:r>
              <w:t xml:space="preserve">, switching-viscosity linguistic prediction fails</w:t>
            </w:r>
          </w:p>
        </w:tc>
      </w:tr>
    </w:tbl>
    <w:p>
      <w:pPr>
        <w:pStyle w:val="BodyText"/>
      </w:pPr>
      <w:r>
        <w:rPr>
          <w:b/>
          <w:bCs/>
        </w:rPr>
        <w:t xml:space="preserve">Table 3. Falsification criteria summary.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Hypothesis</w:t>
            </w:r>
          </w:p>
        </w:tc>
        <w:tc>
          <w:tcPr/>
          <w:p>
            <w:pPr>
              <w:pStyle w:val="Compact"/>
            </w:pPr>
            <w:r>
              <w:t xml:space="preserve">Tier</w:t>
            </w:r>
          </w:p>
        </w:tc>
        <w:tc>
          <w:tcPr/>
          <w:p>
            <w:pPr>
              <w:pStyle w:val="Compact"/>
            </w:pPr>
            <w:r>
              <w:t xml:space="preserve">Core Prediction</w:t>
            </w:r>
          </w:p>
        </w:tc>
        <w:tc>
          <w:tcPr/>
          <w:p>
            <w:pPr>
              <w:pStyle w:val="Compact"/>
            </w:pPr>
            <w:r>
              <w:t xml:space="preserve">Falsification Criterion</w:t>
            </w:r>
          </w:p>
        </w:tc>
        <w:tc>
          <w:tcPr/>
          <w:p>
            <w:pPr>
              <w:pStyle w:val="Compact"/>
            </w:pPr>
            <w:r>
              <w:t xml:space="preserve">Required</w:t>
            </w:r>
            <w:r>
              <w:t xml:space="preserve"> </w:t>
            </w:r>
            <ns3:oMath>
              <ns3:r>
                <ns3:t>N</ns3:t>
              </ns3:r>
            </ns3:oMath>
          </w:p>
        </w:tc>
        <w:tc>
          <w:tcPr/>
          <w:p>
            <w:pPr>
              <w:pStyle w:val="Compact"/>
            </w:pPr>
            <w:r>
              <w:t xml:space="preserve">Key Measures</w:t>
            </w:r>
          </w:p>
        </w:tc>
      </w:tr>
      <w:tr>
        <w:tc>
          <w:tcPr/>
          <w:p>
            <w:pPr>
              <w:pStyle w:val="Compact"/>
            </w:pPr>
            <w:r>
              <w:t xml:space="preserve">H72</w:t>
            </w:r>
          </w:p>
        </w:tc>
        <w:tc>
          <w:tcPr/>
          <w:p>
            <w:pPr>
              <w:pStyle w:val="Compact"/>
            </w:pPr>
            <w:r>
              <w:t xml:space="preserve">Core</w:t>
            </w:r>
          </w:p>
        </w:tc>
        <w:tc>
          <w:tcPr/>
          <w:p>
            <w:pPr>
              <w:pStyle w:val="Compact"/>
            </w:pPr>
            <w:r>
              <w:t xml:space="preserve">Context-sensitive</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 incremental validity</w:t>
            </w:r>
          </w:p>
        </w:tc>
        <w:tc>
          <w:tcPr/>
          <w:p>
            <w:pPr>
              <w:pStyle w:val="Compact"/>
            </w:pPr>
            <w:r>
              <w:t xml:space="preserve">No context effect and no meaningful incremental variance over symptom/affect controls</w:t>
            </w:r>
          </w:p>
        </w:tc>
        <w:tc>
          <w:tcPr/>
          <w:p>
            <w:pPr>
              <w:pStyle w:val="Compact"/>
            </w:pPr>
            <w:r>
              <w:t xml:space="preserve">120</w:t>
            </w:r>
          </w:p>
        </w:tc>
        <w:tc>
          <w:tcPr/>
          <w:p>
            <w:pPr>
              <w:pStyle w:val="Compact"/>
            </w:pPr>
            <w:r>
              <w:t xml:space="preserve">Adjusted modal ratio, RT, HRV/SCR, symptom scales</w:t>
            </w:r>
          </w:p>
        </w:tc>
      </w:tr>
      <w:tr>
        <w:tc>
          <w:tcPr/>
          <w:p>
            <w:pPr>
              <w:pStyle w:val="Compact"/>
            </w:pPr>
            <w:r>
              <w:t xml:space="preserve">H-NEURO-EXEC-01</w:t>
            </w:r>
          </w:p>
        </w:tc>
        <w:tc>
          <w:tcPr/>
          <w:p>
            <w:pPr>
              <w:pStyle w:val="Compact"/>
            </w:pPr>
            <w:r>
              <w:t xml:space="preserve">Core</w:t>
            </w:r>
          </w:p>
        </w:tc>
        <w:tc>
          <w:tcPr/>
          <w:p>
            <w:pPr>
              <w:pStyle w:val="Compact"/>
            </w:pPr>
            <w:r>
              <w:t xml:space="preserve">Nonlinear cost increase with identifiable</w:t>
            </w:r>
            <w:r>
              <w:t xml:space="preserve"> </w:t>
            </w:r>
            <ns3:oMath>
              <ns3:sSubSup>
                <ns3:e>
                  <ns3:r>
                    <ns3:t>ρ</ns3:t>
                  </ns3:r>
                </ns3:e>
                <ns3:sub>
                  <ns3:r>
                    <ns3:t>c</ns3:t>
                  </ns3:r>
                </ns3:sub>
                <ns3:sup>
                  <ns3:r>
                    <ns3:rPr>
                      <ns3:sty ns3:val="p"/>
                    </ns3:rPr>
                    <ns3:t>*</ns3:t>
                  </ns3:r>
                </ns3:sup>
              </ns3:sSubSup>
            </ns3:oMath>
            <w:r>
              <w:t xml:space="preserve"> </w:t>
            </w:r>
            <w:r>
              <w:t xml:space="preserve">(primary)</w:t>
            </w:r>
          </w:p>
        </w:tc>
        <w:tc>
          <w:tcPr/>
          <w:p>
            <w:pPr>
              <w:pStyle w:val="Compact"/>
            </w:pPr>
            <w:r>
              <w:t xml:space="preserve">Linear fit dominates or no</w:t>
            </w:r>
            <w:r>
              <w:t xml:space="preserve"> </w:t>
            </w:r>
            <ns3:oMath>
              <ns3:sSubSup>
                <ns3:e>
                  <ns3:r>
                    <ns3:t>ρ</ns3:t>
                  </ns3:r>
                </ns3:e>
                <ns3:sub>
                  <ns3:r>
                    <ns3:t>c</ns3:t>
                  </ns3:r>
                </ns3:sub>
                <ns3:sup>
                  <ns3:r>
                    <ns3:rPr>
                      <ns3:sty ns3:val="p"/>
                    </ns3:rPr>
                    <ns3:t>*</ns3:t>
                  </ns3:r>
                </ns3:sup>
              </ns3:sSubSup>
            </ns3:oMath>
          </w:p>
        </w:tc>
        <w:tc>
          <w:tcPr/>
          <w:p>
            <w:pPr>
              <w:pStyle w:val="Compact"/>
            </w:pPr>
            <w:r>
              <w:t xml:space="preserve">80</w:t>
            </w:r>
          </w:p>
        </w:tc>
        <w:tc>
          <w:tcPr/>
          <w:p>
            <w:pPr>
              <w:pStyle w:val="Compact"/>
            </w:pPr>
            <w:r>
              <w:t xml:space="preserve">Task-switch</w:t>
            </w:r>
            <w:r>
              <w:t xml:space="preserve"> </w:t>
            </w:r>
            <ns3:oMath>
              <ns3:r>
                <ns3:rPr>
                  <ns3:sty ns3:val="p"/>
                </ns3:rPr>
                <ns3:t>×</ns3:t>
              </ns3:r>
            </ns3:oMath>
            <w:r>
              <w:t xml:space="preserve"> </w:t>
            </w:r>
            <w:r>
              <w:t xml:space="preserve">load, HRV/SCR, baseline latent score</w:t>
            </w:r>
          </w:p>
        </w:tc>
      </w:tr>
      <w:tr>
        <w:tc>
          <w:tcPr/>
          <w:p>
            <w:pPr>
              <w:pStyle w:val="Compact"/>
            </w:pPr>
            <w:r>
              <w:t xml:space="preserve">H-MET-01</w:t>
            </w:r>
          </w:p>
        </w:tc>
        <w:tc>
          <w:tcPr/>
          <w:p>
            <w:pPr>
              <w:pStyle w:val="Compact"/>
            </w:pPr>
            <w:r>
              <w:t xml:space="preserve">Core-extension bridge</w:t>
            </w:r>
          </w:p>
        </w:tc>
        <w:tc>
          <w:tcPr/>
          <w:p>
            <w:pPr>
              <w:pStyle w:val="Compact"/>
            </w:pPr>
            <w:r>
              <w:t xml:space="preserve">Counter-habitual choice increases SCR (glucose exploratory)</w:t>
            </w:r>
          </w:p>
        </w:tc>
        <w:tc>
          <w:tcPr/>
          <w:p>
            <w:pPr>
              <w:pStyle w:val="Compact"/>
            </w:pPr>
            <w:r>
              <w:t xml:space="preserve">No SCR difference or no reliable SCR-</w:t>
            </w:r>
            <ns3:oMath>
              <ns3:sSub>
                <ns3:e>
                  <ns3:r>
                    <ns3:rPr>
                      <ns3:sty ns3:val="p"/>
                    </ns3:rPr>
                    <ns3:t>Ψ</ns3:t>
                  </ns3:r>
                </ns3:e>
                <ns3:sub>
                  <ns3:r>
                    <ns3:t>f</ns3:t>
                  </ns3:r>
                </ns3:sub>
              </ns3:sSub>
            </ns3:oMath>
            <w:r>
              <w:t xml:space="preserve"> </w:t>
            </w:r>
            <w:r>
              <w:t xml:space="preserve">link</w:t>
            </w:r>
          </w:p>
        </w:tc>
        <w:tc>
          <w:tcPr/>
          <w:p>
            <w:pPr>
              <w:pStyle w:val="Compact"/>
            </w:pPr>
            <w:r>
              <w:t xml:space="preserve">60</w:t>
            </w:r>
          </w:p>
        </w:tc>
        <w:tc>
          <w:tcPr/>
          <w:p>
            <w:pPr>
              <w:pStyle w:val="Compact"/>
            </w:pPr>
            <w:r>
              <w:t xml:space="preserve">SCR (primary), glucose (secondary), compatibility task</w:t>
            </w:r>
          </w:p>
        </w:tc>
      </w:tr>
      <w:tr>
        <w:tc>
          <w:tcPr/>
          <w:p>
            <w:pPr>
              <w:pStyle w:val="Compact"/>
            </w:pPr>
            <w:r>
              <w:t xml:space="preserve">H-CLIN-OCD-01</w:t>
            </w:r>
          </w:p>
        </w:tc>
        <w:tc>
          <w:tcPr/>
          <w:p>
            <w:pPr>
              <w:pStyle w:val="Compact"/>
            </w:pPr>
            <w:r>
              <w:t xml:space="preserve">Core clinical</w:t>
            </w:r>
          </w:p>
        </w:tc>
        <w:tc>
          <w:tcPr/>
          <w:p>
            <w:pPr>
              <w:pStyle w:val="Compact"/>
            </w:pPr>
            <w:r>
              <w:t xml:space="preserve">Highest</w:t>
            </w:r>
            <w:r>
              <w:t xml:space="preserve"> </w:t>
            </w:r>
            <ns3:oMath>
              <ns3:sSub>
                <ns3:e>
                  <ns3:r>
                    <ns3:t>μ</ns3:t>
                  </ns3:r>
                </ns3:e>
                <ns3:sub>
                  <ns3:r>
                    <ns3:rPr>
                      <ns3:nor/>
                      <ns3:sty ns3:val="p"/>
                    </ns3:rPr>
                    <ns3:t>sem</ns3:t>
                  </ns3:r>
                </ns3:sub>
              </ns3:sSub>
            </ns3:oMath>
            <w:r>
              <w:t xml:space="preserve"> </w:t>
            </w:r>
            <w:r>
              <w:t xml:space="preserve">in OCD</w:t>
            </w:r>
          </w:p>
        </w:tc>
        <w:tc>
          <w:tcPr/>
          <w:p>
            <w:pPr>
              <w:pStyle w:val="Compact"/>
            </w:pPr>
            <w:r>
              <w:t xml:space="preserve">No reliable OCD elevation on</w:t>
            </w:r>
            <w:r>
              <w:t xml:space="preserve"> </w:t>
            </w:r>
            <ns3:oMath>
              <ns3:sSub>
                <ns3:e>
                  <ns3:r>
                    <ns3:t>μ</ns3:t>
                  </ns3:r>
                </ns3:e>
                <ns3:sub>
                  <ns3:r>
                    <ns3:rPr>
                      <ns3:nor/>
                      <ns3:sty ns3:val="p"/>
                    </ns3:rPr>
                    <ns3:t>sem</ns3:t>
                  </ns3:r>
                </ns3:sub>
              </ns3:sSub>
            </ns3:oMath>
          </w:p>
        </w:tc>
        <w:tc>
          <w:tcPr/>
          <w:p>
            <w:pPr>
              <w:pStyle w:val="Compact"/>
            </w:pPr>
            <w:r>
              <w:t xml:space="preserve">90 (30$</w:t>
            </w:r>
            <w:r>
              <w:t xml:space="preserve">$3)</w:t>
            </w:r>
          </w:p>
        </w:tc>
        <w:tc>
          <w:tcPr/>
          <w:p>
            <w:pPr>
              <w:pStyle w:val="Compact"/>
            </w:pPr>
            <w:r>
              <w:t xml:space="preserve">Modal ratio, clinical interview</w:t>
            </w:r>
          </w:p>
        </w:tc>
      </w:tr>
      <w:tr>
        <w:tc>
          <w:tcPr/>
          <w:p>
            <w:pPr>
              <w:pStyle w:val="Compact"/>
            </w:pPr>
            <w:r>
              <w:t xml:space="preserve">H-CLIN-DEP-01</w:t>
            </w:r>
          </w:p>
        </w:tc>
        <w:tc>
          <w:tcPr/>
          <w:p>
            <w:pPr>
              <w:pStyle w:val="Compact"/>
            </w:pPr>
            <w:r>
              <w:t xml:space="preserve">Expansion</w:t>
            </w:r>
          </w:p>
        </w:tc>
        <w:tc>
          <w:tcPr/>
          <w:p>
            <w:pPr>
              <w:pStyle w:val="Compact"/>
            </w:pPr>
            <w:r>
              <w:t xml:space="preserve">ROS predicted by</w:t>
            </w:r>
            <w:r>
              <w:t xml:space="preserve"> </w:t>
            </w:r>
            <ns3:oMath>
              <ns3:sSub>
                <ns3:e>
                  <ns3:r>
                    <ns3:rPr>
                      <ns3:sty ns3:val="p"/>
                    </ns3:rPr>
                    <ns3:t>Ψ</ns3:t>
                  </ns3:r>
                </ns3:e>
                <ns3:sub>
                  <ns3:r>
                    <ns3:t>f</ns3:t>
                  </ns3:r>
                </ns3:sub>
              </ns3:sSub>
            </ns3:oMath>
            <w:r>
              <w:t xml:space="preserve"> </w:t>
            </w:r>
            <w:r>
              <w:t xml:space="preserve">in MDD</w:t>
            </w:r>
          </w:p>
        </w:tc>
        <w:tc>
          <w:tcPr/>
          <w:p>
            <w:pPr>
              <w:pStyle w:val="Compact"/>
            </w:pPr>
            <w:r>
              <w:t xml:space="preserve">Negligible</w:t>
            </w:r>
            <w:r>
              <w:t xml:space="preserve"> </w:t>
            </w:r>
            <ns3:oMath>
              <ns3:sSub>
                <ns3:e>
                  <ns3:r>
                    <ns3:rPr>
                      <ns3:sty ns3:val="p"/>
                    </ns3:rPr>
                    <ns3:t>Ψ</ns3:t>
                  </ns3:r>
                </ns3:e>
                <ns3:sub>
                  <ns3:r>
                    <ns3:t>f</ns3:t>
                  </ns3:r>
                </ns3:sub>
              </ns3:sSub>
            </ns3:oMath>
            <w:r>
              <w:t xml:space="preserve">-ROS association</w:t>
            </w:r>
          </w:p>
        </w:tc>
        <w:tc>
          <w:tcPr/>
          <w:p>
            <w:pPr>
              <w:pStyle w:val="Compact"/>
            </w:pPr>
            <w:r>
              <w:t xml:space="preserve">80 (40+40)</w:t>
            </w:r>
          </w:p>
        </w:tc>
        <w:tc>
          <w:tcPr/>
          <w:p>
            <w:pPr>
              <w:pStyle w:val="Compact"/>
            </w:pPr>
            <w:r>
              <w:t xml:space="preserve">GSH/GSSG, task battery, HRV</w:t>
            </w:r>
          </w:p>
        </w:tc>
      </w:tr>
    </w:tbl>
    <w:p>
      <w:pPr>
        <w:pStyle w:val="BodyText"/>
      </w:pPr>
      <w:r>
        <w:rPr>
          <w:b/>
          <w:bCs/>
        </w:rPr>
        <w:t xml:space="preserve">Table 4. Framework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Cognitive Load Theory</w:t>
            </w:r>
          </w:p>
        </w:tc>
        <w:tc>
          <w:tcPr/>
          <w:p>
            <w:pPr>
              <w:pStyle w:val="Compact"/>
            </w:pPr>
            <w:r>
              <w:t xml:space="preserve">Allostatic Load</w:t>
            </w:r>
          </w:p>
        </w:tc>
        <w:tc>
          <w:tcPr/>
          <w:p>
            <w:pPr>
              <w:pStyle w:val="Compact"/>
            </w:pPr>
            <w:r>
              <w:t xml:space="preserve">Free Energy Principle</w:t>
            </w:r>
          </w:p>
        </w:tc>
        <w:tc>
          <w:tcPr/>
          <w:p>
            <w:pPr>
              <w:pStyle w:val="Compact"/>
            </w:pPr>
            <w:r>
              <w:t xml:space="preserve">EVC</w:t>
            </w:r>
          </w:p>
        </w:tc>
        <w:tc>
          <w:tcPr/>
          <w:p>
            <w:pPr>
              <w:pStyle w:val="Compact"/>
            </w:pPr>
            <w:r>
              <w:t xml:space="preserve">IIT (</w:t>
            </w:r>
            <ns3:oMath>
              <ns3:r>
                <ns3:rPr>
                  <ns3:sty ns3:val="p"/>
                </ns3:rPr>
                <ns3:t>Φ</ns3:t>
              </ns3:r>
            </ns3:oMath>
            <w:r>
              <w:t xml:space="preserve">)</w:t>
            </w:r>
          </w:p>
        </w:tc>
        <w:tc>
          <w:tcPr/>
          <w:p>
            <w:pPr>
              <w:pStyle w:val="Compact"/>
            </w:pPr>
            <w:r>
              <w:t xml:space="preserve">Present framework (</w:t>
            </w:r>
            <ns3:oMath>
              <ns3:sSub>
                <ns3:e>
                  <ns3:r>
                    <ns3:rPr>
                      <ns3:sty ns3:val="p"/>
                    </ns3:rPr>
                    <ns3:t>Ψ</ns3:t>
                  </ns3:r>
                </ns3:e>
                <ns3:sub>
                  <ns3:r>
                    <ns3:t>f</ns3:t>
                  </ns3:r>
                </ns3:sub>
              </ns3:sSub>
            </ns3:oMath>
            <w:r>
              <w:t xml:space="preserve">)</w:t>
            </w:r>
          </w:p>
        </w:tc>
      </w:tr>
      <w:tr>
        <w:tc>
          <w:tcPr/>
          <w:p>
            <w:pPr>
              <w:pStyle w:val="Compact"/>
            </w:pPr>
            <w:r>
              <w:t xml:space="preserve">Cross-modal operationalization</w:t>
            </w:r>
          </w:p>
        </w:tc>
        <w:tc>
          <w:tcPr/>
          <w:p>
            <w:pPr>
              <w:pStyle w:val="Compact"/>
            </w:pPr>
            <w:r>
              <w:t xml:space="preserve">No (behavioral only)</w:t>
            </w:r>
          </w:p>
        </w:tc>
        <w:tc>
          <w:tcPr/>
          <w:p>
            <w:pPr>
              <w:pStyle w:val="Compact"/>
            </w:pPr>
            <w:r>
              <w:t xml:space="preserve">Partial (physiological)</w:t>
            </w:r>
          </w:p>
        </w:tc>
        <w:tc>
          <w:tcPr/>
          <w:p>
            <w:pPr>
              <w:pStyle w:val="Compact"/>
            </w:pPr>
            <w:r>
              <w:t xml:space="preserve">Partial (neural + computational)</w:t>
            </w:r>
          </w:p>
        </w:tc>
        <w:tc>
          <w:tcPr/>
          <w:p>
            <w:pPr>
              <w:pStyle w:val="Compact"/>
            </w:pPr>
            <w:r>
              <w:t xml:space="preserve">Partial (behavioral + computational; current formulations)</w:t>
            </w:r>
          </w:p>
        </w:tc>
        <w:tc>
          <w:tcPr/>
          <w:p>
            <w:pPr>
              <w:pStyle w:val="Compact"/>
            </w:pPr>
            <w:r>
              <w:t xml:space="preserve">No (neural only)</w:t>
            </w:r>
          </w:p>
        </w:tc>
        <w:tc>
          <w:tcPr/>
          <w:p>
            <w:pPr>
              <w:pStyle w:val="Compact"/>
            </w:pPr>
            <w:r>
              <w:t xml:space="preserve">Yes (4 proxy classes)</w:t>
            </w:r>
          </w:p>
        </w:tc>
      </w:tr>
      <w:tr>
        <w:tc>
          <w:tcPr/>
          <w:p>
            <w:pPr>
              <w:pStyle w:val="Compact"/>
            </w:pPr>
            <w:r>
              <w:t xml:space="preserve">Formal equations</w:t>
            </w:r>
          </w:p>
        </w:tc>
        <w:tc>
          <w:tcPr/>
          <w:p>
            <w:pPr>
              <w:pStyle w:val="Compact"/>
            </w:pPr>
            <w:r>
              <w:t xml:space="preserve">Minimal</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Dynamic cost function</w:t>
            </w:r>
          </w:p>
        </w:tc>
        <w:tc>
          <w:tcPr/>
          <w:p>
            <w:pPr>
              <w:pStyle w:val="Compact"/>
            </w:pPr>
            <w:r>
              <w:t xml:space="preserve">No (static)</w:t>
            </w:r>
          </w:p>
        </w:tc>
        <w:tc>
          <w:tcPr/>
          <w:p>
            <w:pPr>
              <w:pStyle w:val="Compact"/>
            </w:pPr>
            <w:r>
              <w:t xml:space="preserve">Yes (cumulative)</w:t>
            </w:r>
          </w:p>
        </w:tc>
        <w:tc>
          <w:tcPr/>
          <w:p>
            <w:pPr>
              <w:pStyle w:val="Compact"/>
            </w:pPr>
            <w:r>
              <w:t xml:space="preserve">Yes (instantaneous)</w:t>
            </w:r>
          </w:p>
        </w:tc>
        <w:tc>
          <w:tcPr/>
          <w:p>
            <w:pPr>
              <w:pStyle w:val="Compact"/>
            </w:pPr>
            <w:r>
              <w:t xml:space="preserve">Yes (cost-benefit allocation)</w:t>
            </w:r>
          </w:p>
        </w:tc>
        <w:tc>
          <w:tcPr/>
          <w:p>
            <w:pPr>
              <w:pStyle w:val="Compact"/>
            </w:pPr>
            <w:r>
              <w:t xml:space="preserve">No (snapshot)</w:t>
            </w:r>
          </w:p>
        </w:tc>
        <w:tc>
          <w:tcPr/>
          <w:p>
            <w:pPr>
              <w:pStyle w:val="Compact"/>
            </w:pPr>
            <w:r>
              <w:t xml:space="preserve">Yes (accumulated + derivative)</w:t>
            </w:r>
          </w:p>
        </w:tc>
      </w:tr>
      <w:tr>
        <w:tc>
          <w:tcPr/>
          <w:p>
            <w:pPr>
              <w:pStyle w:val="Compact"/>
            </w:pPr>
            <w:r>
              <w:t xml:space="preserve">Clinical disorder specificity</w:t>
            </w:r>
          </w:p>
        </w:tc>
        <w:tc>
          <w:tcPr/>
          <w:p>
            <w:pPr>
              <w:pStyle w:val="Compact"/>
            </w:pPr>
            <w:r>
              <w:t xml:space="preserve">No</w:t>
            </w:r>
          </w:p>
        </w:tc>
        <w:tc>
          <w:tcPr/>
          <w:p>
            <w:pPr>
              <w:pStyle w:val="Compact"/>
            </w:pPr>
            <w:r>
              <w:t xml:space="preserve">Partial</w:t>
            </w:r>
          </w:p>
        </w:tc>
        <w:tc>
          <w:tcPr/>
          <w:p>
            <w:pPr>
              <w:pStyle w:val="Compact"/>
            </w:pPr>
            <w:r>
              <w:t xml:space="preserve">Partial</w:t>
            </w:r>
          </w:p>
        </w:tc>
        <w:tc>
          <w:tcPr/>
          <w:p>
            <w:pPr>
              <w:pStyle w:val="Compact"/>
            </w:pPr>
            <w:r>
              <w:t xml:space="preserve">Partial (task-level, non-nosological)</w:t>
            </w:r>
          </w:p>
        </w:tc>
        <w:tc>
          <w:tcPr/>
          <w:p>
            <w:pPr>
              <w:pStyle w:val="Compact"/>
            </w:pPr>
            <w:r>
              <w:t xml:space="preserve">No</w:t>
            </w:r>
          </w:p>
        </w:tc>
        <w:tc>
          <w:tcPr/>
          <w:p>
            <w:pPr>
              <w:pStyle w:val="Compact"/>
            </w:pPr>
            <w:r>
              <w:t xml:space="preserve">Yes (Table 2)</w:t>
            </w:r>
          </w:p>
        </w:tc>
      </w:tr>
      <w:tr>
        <w:tc>
          <w:tcPr/>
          <w:p>
            <w:pPr>
              <w:pStyle w:val="Compact"/>
            </w:pPr>
            <w:r>
              <w:t xml:space="preserve">Linguistic probe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t>
            </w:r>
            <ns3:oMath>
              <ns3:sSub>
                <ns3:e>
                  <ns3:r>
                    <ns3:t>μ</ns3:t>
                  </ns3:r>
                </ns3:e>
                <ns3:sub>
                  <ns3:r>
                    <ns3:rPr>
                      <ns3:nor/>
                      <ns3:sty ns3:val="p"/>
                    </ns3:rPr>
                    <ns3:t>sem</ns3:t>
                  </ns3:r>
                </ns3:sub>
              </ns3:sSub>
            </ns3:oMath>
            <w:r>
              <w:t xml:space="preserve">)</w:t>
            </w:r>
          </w:p>
        </w:tc>
      </w:tr>
      <w:tr>
        <w:tc>
          <w:tcPr/>
          <w:p>
            <w:pPr>
              <w:pStyle w:val="Compact"/>
            </w:pPr>
            <w:r>
              <w:t xml:space="preserve">Bandwidth saturation model</w:t>
            </w:r>
          </w:p>
        </w:tc>
        <w:tc>
          <w:tcPr/>
          <w:p>
            <w:pPr>
              <w:pStyle w:val="Compact"/>
            </w:pPr>
            <w:r>
              <w:t xml:space="preserve">No</w:t>
            </w:r>
          </w:p>
        </w:tc>
        <w:tc>
          <w:tcPr/>
          <w:p>
            <w:pPr>
              <w:pStyle w:val="Compact"/>
            </w:pPr>
            <w:r>
              <w:t xml:space="preserve">No</w:t>
            </w:r>
          </w:p>
        </w:tc>
        <w:tc>
          <w:tcPr/>
          <w:p>
            <w:pPr>
              <w:pStyle w:val="Compact"/>
            </w:pPr>
            <w:r>
              <w:t xml:space="preserve">Implicit</w:t>
            </w:r>
          </w:p>
        </w:tc>
        <w:tc>
          <w:tcPr/>
          <w:p>
            <w:pPr>
              <w:pStyle w:val="Compact"/>
            </w:pPr>
            <w:r>
              <w:t xml:space="preserve">Not explicit</w:t>
            </w:r>
          </w:p>
        </w:tc>
        <w:tc>
          <w:tcPr/>
          <w:p>
            <w:pPr>
              <w:pStyle w:val="Compact"/>
            </w:pPr>
            <w:r>
              <w:t xml:space="preserve">No</w:t>
            </w:r>
          </w:p>
        </w:tc>
        <w:tc>
          <w:tcPr/>
          <w:p>
            <w:pPr>
              <w:pStyle w:val="Compact"/>
            </w:pPr>
            <w:r>
              <w:t xml:space="preserve">Yes (Equation 7)</w:t>
            </w:r>
          </w:p>
        </w:tc>
      </w:tr>
      <w:tr>
        <w:tc>
          <w:tcPr/>
          <w:p>
            <w:pPr>
              <w:pStyle w:val="Compact"/>
            </w:pPr>
            <w:r>
              <w:t xml:space="preserve">Explains knowing–doing gap</w:t>
            </w:r>
          </w:p>
        </w:tc>
        <w:tc>
          <w:tcPr/>
          <w:p>
            <w:pPr>
              <w:pStyle w:val="Compact"/>
            </w:pPr>
            <w:r>
              <w:t xml:space="preserve">Partially</w:t>
            </w:r>
          </w:p>
        </w:tc>
        <w:tc>
          <w:tcPr/>
          <w:p>
            <w:pPr>
              <w:pStyle w:val="Compact"/>
            </w:pPr>
            <w:r>
              <w:t xml:space="preserve">No</w:t>
            </w:r>
          </w:p>
        </w:tc>
        <w:tc>
          <w:tcPr/>
          <w:p>
            <w:pPr>
              <w:pStyle w:val="Compact"/>
            </w:pPr>
            <w:r>
              <w:t xml:space="preserve">Partially</w:t>
            </w:r>
          </w:p>
        </w:tc>
        <w:tc>
          <w:tcPr/>
          <w:p>
            <w:pPr>
              <w:pStyle w:val="Compact"/>
            </w:pPr>
            <w:r>
              <w:t xml:space="preserve">Partially</w:t>
            </w:r>
          </w:p>
        </w:tc>
        <w:tc>
          <w:tcPr/>
          <w:p>
            <w:pPr>
              <w:pStyle w:val="Compact"/>
            </w:pPr>
            <w:r>
              <w:t xml:space="preserve">No</w:t>
            </w:r>
          </w:p>
        </w:tc>
        <w:tc>
          <w:tcPr/>
          <w:p>
            <w:pPr>
              <w:pStyle w:val="Compact"/>
            </w:pPr>
            <w:r>
              <w:t xml:space="preserve">Yes</w:t>
            </w:r>
          </w:p>
        </w:tc>
      </w:tr>
    </w:tbl>
    <w:p>
      <w:pPr>
        <w:pStyle w:val="BodyText"/>
      </w:pPr>
      <w:r>
        <w:rPr>
          <w:b/>
          <w:bCs/>
        </w:rPr>
        <w:t xml:space="preserve">Table 5. Alternative-model adjudication matrix (pre-registered decision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Competing account</w:t>
            </w:r>
          </w:p>
        </w:tc>
        <w:tc>
          <w:tcPr/>
          <w:p>
            <w:pPr>
              <w:pStyle w:val="Compact"/>
            </w:pPr>
            <w:r>
              <w:t xml:space="preserve">Core competing prediction</w:t>
            </w:r>
          </w:p>
        </w:tc>
        <w:tc>
          <w:tcPr/>
          <w:p>
            <w:pPr>
              <w:pStyle w:val="Compact"/>
            </w:pPr>
            <ns3:oMath>
              <ns3:sSub>
                <ns3:e>
                  <ns3:r>
                    <ns3:rPr>
                      <ns3:sty ns3:val="p"/>
                    </ns3:rPr>
                    <ns3:t>Ψ</ns3:t>
                  </ns3:r>
                </ns3:e>
                <ns3:sub>
                  <ns3:r>
                    <ns3:t>f</ns3:t>
                  </ns3:r>
                </ns3:sub>
              </ns3:sSub>
            </ns3:oMath>
            <w:r>
              <w:t xml:space="preserve"> </w:t>
            </w:r>
            <w:r>
              <w:t xml:space="preserve">prediction</w:t>
            </w:r>
          </w:p>
        </w:tc>
        <w:tc>
          <w:tcPr/>
          <w:p>
            <w:pPr>
              <w:pStyle w:val="Compact"/>
            </w:pPr>
            <w:r>
              <w:t xml:space="preserve">Decisive test</w:t>
            </w:r>
          </w:p>
        </w:tc>
        <w:tc>
          <w:tcPr/>
          <w:p>
            <w:pPr>
              <w:pStyle w:val="Compact"/>
            </w:pPr>
            <w:r>
              <w:t xml:space="preserve">Predefined decision rule</w:t>
            </w:r>
          </w:p>
        </w:tc>
      </w:tr>
      <w:tr>
        <w:tc>
          <w:tcPr/>
          <w:p>
            <w:pPr>
              <w:pStyle w:val="Compact"/>
            </w:pPr>
            <w:r>
              <w:t xml:space="preserve">Additive resource model</w:t>
            </w:r>
          </w:p>
        </w:tc>
        <w:tc>
          <w:tcPr/>
          <w:p>
            <w:pPr>
              <w:pStyle w:val="Compact"/>
            </w:pPr>
            <w:r>
              <w:t xml:space="preserve">Switch cost rises approximately linearly with load</w:t>
            </w:r>
          </w:p>
        </w:tc>
        <w:tc>
          <w:tcPr/>
          <w:p>
            <w:pPr>
              <w:pStyle w:val="Compact"/>
            </w:pPr>
            <w:r>
              <w:t xml:space="preserve">Changepoint/nonlinear acceleration near</w:t>
            </w:r>
            <w:r>
              <w:t xml:space="preserve"> </w:t>
            </w:r>
            <ns3:oMath>
              <ns3:sSubSup>
                <ns3:e>
                  <ns3:r>
                    <ns3:t>ρ</ns3:t>
                  </ns3:r>
                </ns3:e>
                <ns3:sub>
                  <ns3:r>
                    <ns3:t>c</ns3:t>
                  </ns3:r>
                </ns3:sub>
                <ns3:sup>
                  <ns3:r>
                    <ns3:rPr>
                      <ns3:sty ns3:val="p"/>
                    </ns3:rPr>
                    <ns3:t>*</ns3:t>
                  </ns3:r>
                </ns3:sup>
              </ns3:sSubSup>
            </ns3:oMath>
          </w:p>
        </w:tc>
        <w:tc>
          <w:tcPr/>
          <w:p>
            <w:pPr>
              <w:pStyle w:val="Compact"/>
            </w:pPr>
            <w:r>
              <w:t xml:space="preserve">Compare linear vs changepoint models in H-NEURO-EXEC-01</w:t>
            </w:r>
          </w:p>
        </w:tc>
        <w:tc>
          <w:tcPr/>
          <w:p>
            <w:pPr>
              <w:pStyle w:val="Compact"/>
            </w:pPr>
            <w:r>
              <w:t xml:space="preserve">If linear fit</w:t>
            </w:r>
            <w:r>
              <w:t xml:space="preserve"> </w:t>
            </w:r>
            <ns3:oMath>
              <ns3:r>
                <ns3:rPr>
                  <ns3:sty ns3:val="p"/>
                </ns3:rPr>
                <ns3:t>≥</ns3:t>
              </ns3:r>
            </ns3:oMath>
            <w:r>
              <w:t xml:space="preserve"> </w:t>
            </w:r>
            <w:r>
              <w:t xml:space="preserve">changepoint in primary</w:t>
            </w:r>
            <w:r>
              <w:t xml:space="preserve"> </w:t>
            </w:r>
            <ns3:oMath>
              <ns3:sSup>
                <ns3:e>
                  <ns3:r>
                    <ns3:t>ρ</ns3:t>
                  </ns3:r>
                </ns3:e>
                <ns3:sup>
                  <ns3:r>
                    <ns3:rPr>
                      <ns3:sty ns3:val="p"/>
                    </ns3:rPr>
                    <ns3:t>*</ns3:t>
                  </ns3:r>
                </ns3:sup>
              </ns3:sSup>
            </ns3:oMath>
            <w:r>
              <w:t xml:space="preserve"> </w:t>
            </w:r>
            <w:r>
              <w:t xml:space="preserve">analysis, reject saturation component</w:t>
            </w:r>
          </w:p>
        </w:tc>
      </w:tr>
      <w:tr>
        <w:tc>
          <w:tcPr/>
          <w:p>
            <w:pPr>
              <w:pStyle w:val="Compact"/>
            </w:pPr>
            <w:r>
              <w:t xml:space="preserve">Generic symptom-severity model</w:t>
            </w:r>
          </w:p>
        </w:tc>
        <w:tc>
          <w:tcPr/>
          <w:p>
            <w:pPr>
              <w:pStyle w:val="Compact"/>
            </w:pPr>
            <w:r>
              <w:t xml:space="preserve">Clinical groups differ mainly by global severity</w:t>
            </w:r>
          </w:p>
        </w:tc>
        <w:tc>
          <w:tcPr/>
          <w:p>
            <w:pPr>
              <w:pStyle w:val="Compact"/>
            </w:pPr>
            <w:r>
              <w:t xml:space="preserve">Disorder-specific dissociations (Table 2)</w:t>
            </w:r>
          </w:p>
        </w:tc>
        <w:tc>
          <w:tcPr/>
          <w:p>
            <w:pPr>
              <w:pStyle w:val="Compact"/>
            </w:pPr>
            <w:r>
              <w:t xml:space="preserve">Phase-2 contrasts in §4.5</w:t>
            </w:r>
          </w:p>
        </w:tc>
        <w:tc>
          <w:tcPr/>
          <w:p>
            <w:pPr>
              <w:pStyle w:val="Compact"/>
            </w:pPr>
            <w:r>
              <w:t xml:space="preserve">If dissociation contrasts fail, downgrade to transdiagnostic severity interpretation</w:t>
            </w:r>
          </w:p>
        </w:tc>
      </w:tr>
      <w:tr>
        <w:tc>
          <w:tcPr/>
          <w:p>
            <w:pPr>
              <w:pStyle w:val="Compact"/>
            </w:pPr>
            <w:r>
              <w:t xml:space="preserve">Language-style/trait model</w:t>
            </w:r>
          </w:p>
        </w:tc>
        <w:tc>
          <w:tcPr/>
          <w:p>
            <w:pPr>
              <w:pStyle w:val="Compact"/>
            </w:pPr>
            <ns3:oMath>
              <ns3:sSub>
                <ns3:e>
                  <ns3:r>
                    <ns3:t>μ</ns3:t>
                  </ns3:r>
                </ns3:e>
                <ns3:sub>
                  <ns3:r>
                    <ns3:rPr>
                      <ns3:nor/>
                      <ns3:sty ns3:val="p"/>
                    </ns3:rPr>
                    <ns3:t>sem</ns3:t>
                  </ns3:r>
                </ns3:sub>
              </ns3:sSub>
            </ns3:oMath>
            <w:r>
              <w:t xml:space="preserve"> </w:t>
            </w:r>
            <w:r>
              <w:t xml:space="preserve">mostly stable stylistic variance</w:t>
            </w:r>
          </w:p>
        </w:tc>
        <w:tc>
          <w:tcPr/>
          <w:p>
            <w:pPr>
              <w:pStyle w:val="Compact"/>
            </w:pPr>
            <w:r>
              <w:t xml:space="preserve">Context-sensitive shifts + incremental validity</w:t>
            </w:r>
          </w:p>
        </w:tc>
        <w:tc>
          <w:tcPr/>
          <w:p>
            <w:pPr>
              <w:pStyle w:val="Compact"/>
            </w:pPr>
            <w:r>
              <w:t xml:space="preserve">H72 context contrast + incremental validity over PHQ-9/GAD-7/affect controls</w:t>
            </w:r>
          </w:p>
        </w:tc>
        <w:tc>
          <w:tcPr/>
          <w:p>
            <w:pPr>
              <w:pStyle w:val="Compact"/>
            </w:pPr>
            <w:r>
              <w:t xml:space="preserve">If no context effect and no meaningful incremental variance, remove linguistic probe from core model</w:t>
            </w:r>
          </w:p>
        </w:tc>
      </w:tr>
      <w:tr>
        <w:tc>
          <w:tcPr/>
          <w:p>
            <w:pPr>
              <w:pStyle w:val="Compact"/>
            </w:pPr>
            <w:r>
              <w:t xml:space="preserve">Global-deficit account</w:t>
            </w:r>
          </w:p>
        </w:tc>
        <w:tc>
          <w:tcPr/>
          <w:p>
            <w:pPr>
              <w:pStyle w:val="Compact"/>
            </w:pPr>
            <w:r>
              <w:t xml:space="preserve">Expansion markers add little structure beyond symptoms</w:t>
            </w:r>
          </w:p>
        </w:tc>
        <w:tc>
          <w:tcPr/>
          <w:p>
            <w:pPr>
              <w:pStyle w:val="Compact"/>
            </w:pPr>
            <w:r>
              <w:t xml:space="preserve">Optional expansion markers may add mechanistic precision</w:t>
            </w:r>
          </w:p>
        </w:tc>
        <w:tc>
          <w:tcPr/>
          <w:p>
            <w:pPr>
              <w:pStyle w:val="Compact"/>
            </w:pPr>
            <w:r>
              <w:t xml:space="preserve">Compare core vs expansion model fit in phase-3</w:t>
            </w:r>
          </w:p>
        </w:tc>
        <w:tc>
          <w:tcPr/>
          <w:p>
            <w:pPr>
              <w:pStyle w:val="Compact"/>
            </w:pPr>
            <w:r>
              <w:t xml:space="preserve">If no incremental value, retain core chain and demote expansion markers to exploratory</w:t>
            </w:r>
          </w:p>
        </w:tc>
      </w:tr>
    </w:tbl>
    <w:bookmarkEnd w:id="60"/>
    <w:bookmarkEnd w:id="61"/>
    <w:sectPr>
      <w:footerReference w:type="default" r:id="rId999"/>
      <w:lnNumType w:countBy="1" w:start="1" w:restart="newPage" w:distance="36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99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2026-03-24T08:35:28Z</dcterms:created>
  <dcterms:modified xsi:type="dcterms:W3CDTF">2026-03-24T08:35:28Z</dcterms:modified>
</cp:coreProperties>
</file>

<file path=docProps/custom.xml><?xml version="1.0" encoding="utf-8"?>
<Properties xmlns="http://schemas.openxmlformats.org/officeDocument/2006/custom-properties" xmlns:vt="http://schemas.openxmlformats.org/officeDocument/2006/docPropsVTypes"/>
</file>