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odttf" ContentType="application/vnd.openxmlformats-officedocument.obfuscatedFont"/>
  <ns0:Override PartName="/word/webSettings.xml" ContentType="application/vnd.openxmlformats-officedocument.wordprocessingml.webSettings+xml"/>
  <ns0:Override PartName="/word/numbering.xml" ContentType="application/vnd.openxmlformats-officedocument.wordprocessingml.numbering+xml"/>
  <ns0:Override PartName="/word/settings.xml" ContentType="application/vnd.openxmlformats-officedocument.wordprocessingml.settings+xml"/>
  <ns0:Override PartName="/word/theme/theme1.xml" ContentType="application/vnd.openxmlformats-officedocument.theme+xml"/>
  <ns0:Override PartName="/word/fontTable.xml" ContentType="application/vnd.openxmlformats-officedocument.wordprocessingml.fontTable+xml"/>
  <ns0:Override PartName="/docProps/app.xml" ContentType="application/vnd.openxmlformats-officedocument.extended-properties+xml"/>
  <ns0:Override PartName="/docProps/core.xml" ContentType="application/vnd.openxmlformats-package.core-properties+xml"/>
  <ns0:Override PartName="/docProps/custom.xml" ContentType="application/vnd.openxmlformats-officedocument.custom-properties+xml"/>
  <ns0:Override PartName="/word/styles.xml" ContentType="application/vnd.openxmlformats-officedocument.wordprocessingml.styles+xml"/>
  <ns0:Override PartName="/word/document.xml" ContentType="application/vnd.openxmlformats-officedocument.wordprocessingml.document.main+xml"/>
  <ns0:Override PartName="/word/comments.xml" ContentType="application/vnd.openxmlformats-officedocument.wordprocessingml.comments+xml"/>
  <ns0:Override PartName="/word/footnotes.xml" ContentType="application/vnd.openxmlformats-officedocument.wordprocessingml.footnotes+xml"/>
  <ns0:Override PartName="/word/media/rId19.png" ContentType="image/png"/>
  <ns0:Override PartName="/word/media/rId29.png" ContentType="image/png"/>
  <ns0:Override PartName="/word/media/rId40.png" ContentType="image/png"/>
  <ns0:Override PartName="/word/media/rId51.png" ContentType="image/png"/>
  <ns0:Override PartName="/word/media/rId34.png" ContentType="image/png"/>
  <ns0:Override PartName="/word/footer1.xml" ContentType="application/vnd.openxmlformats-officedocument.wordprocessingml.footer+xml"/>
</ns0: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urn:schemas-microsoft-com:vml" xmlns:ns2="urn:schemas-microsoft-com:office:office"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w:body>
    <w:bookmarkStart w:id="73" w:name="Xd0182d90589060ec27a8b0a555403518ed90ea3"/>
    <w:p>
      <w:pPr>
        <w:pStyle w:val="Heading1"/>
      </w:pPr>
      <w:r>
        <w:t xml:space="preserve">Ontological Friction: A Testable Cross-Modal Cost Model for Executive Breakdown</w:t>
      </w:r>
    </w:p>
    <w:p>
      <w:pPr>
        <w:pStyle w:val="FirstParagraph"/>
      </w:pPr>
      <w:r>
        <w:rPr>
          <w:b/>
          <w:bCs/>
        </w:rPr>
        <w:t xml:space="preserve">Article type</w:t>
      </w:r>
      <w:r>
        <w:t xml:space="preserve">: Hypothesis and Theory</w:t>
      </w:r>
      <w:r>
        <w:br/>
      </w:r>
      <w:r>
        <w:rPr>
          <w:b/>
          <w:bCs/>
        </w:rPr>
        <w:t xml:space="preserve">Target journal</w:t>
      </w:r>
      <w:r>
        <w:t xml:space="preserve">: Frontiers in Neuroscience</w:t>
      </w:r>
      <w:r>
        <w:br/>
      </w:r>
      <w:r>
        <w:rPr>
          <w:b/>
          <w:bCs/>
        </w:rPr>
        <w:t xml:space="preserve">Running title</w:t>
      </w:r>
      <w:r>
        <w:t xml:space="preserve">: Ontological Friction in Executive Breakdown</w:t>
      </w:r>
      <w:r>
        <w:br/>
      </w:r>
      <w:r>
        <w:rPr>
          <w:b/>
          <w:bCs/>
        </w:rPr>
        <w:t xml:space="preserve">Word count</w:t>
      </w:r>
      <w:r>
        <w:t xml:space="preserve">: 10,069 words (main text, excluding abstract, figures, tables, captions, and references)</w:t>
      </w:r>
      <w:r>
        <w:br/>
      </w:r>
      <w:r>
        <w:rPr>
          <w:b/>
          <w:bCs/>
        </w:rPr>
        <w:t xml:space="preserve">Abstract</w:t>
      </w:r>
      <w:r>
        <w:t xml:space="preserve">: 223 words</w:t>
      </w:r>
      <w:r>
        <w:br/>
      </w:r>
      <w:r>
        <w:rPr>
          <w:b/>
          <w:bCs/>
        </w:rPr>
        <w:t xml:space="preserve">Figures/Tables</w:t>
      </w:r>
      <w:r>
        <w:t xml:space="preserve">: 5 figures; 5 tables</w:t>
      </w:r>
      <w:r>
        <w:br/>
      </w:r>
      <w:r>
        <w:rPr>
          <w:b/>
          <w:bCs/>
        </w:rPr>
        <w:t xml:space="preserve">Keywords</w:t>
      </w:r>
      <w:r>
        <w:t xml:space="preserve">: ontological friction, executive dysfunction, task-switching, predictive processing, psychophysiology, clinical neuroscience, linguistic biomarker, hypothesis-driven modeling</w:t>
      </w:r>
    </w:p>
    <w:p>
      <w:r>
        <w:pict>
          <ns1:rect style="width:0;height:1.5pt" ns2:hralign="center" ns2:hrstd="t" ns2:hr="t"/>
        </w:pict>
      </w:r>
    </w:p>
    <w:bookmarkStart w:id="9" w:name="abstract"/>
    <w:p>
      <w:pPr>
        <w:pStyle w:val="Heading2"/>
      </w:pPr>
      <w:r>
        <w:t xml:space="preserve">Abstract</w:t>
      </w:r>
    </w:p>
    <w:p>
      <w:pPr>
        <w:pStyle w:val="FirstParagraph"/>
      </w:pPr>
      <w:r>
        <w:t xml:space="preserve">The dissociation between knowing and doing, where an agent can represent an appropriate action but fails to execute it, is common across neurological and psychiatric disorders and remains insufficiently formalized. We propose a latent cross-modal control-cost factor (termed</w:t>
      </w:r>
      <w:r>
        <w:t xml:space="preserve"> </w:t>
      </w:r>
      <w:r>
        <w:rPr>
          <w:i/>
          <w:iCs/>
        </w:rPr>
        <w:t xml:space="preserve">ontological friction</w:t>
      </w:r>
      <w:r>
        <w:t xml:space="preserve">,</w:t>
      </w:r>
      <w:r>
        <w:t xml:space="preserve"> </w:t>
      </w:r>
      <ns3:oMath>
        <ns3:sSub>
          <ns3:e>
            <ns3:r>
              <ns3:rPr>
                <ns3:sty ns3:val="p"/>
              </ns3:rPr>
              <ns3:t>Ψ</ns3:t>
            </ns3:r>
          </ns3:e>
          <ns3:sub>
            <ns3:r>
              <ns3:t>f</ns3:t>
            </ns3:r>
          </ns3:sub>
        </ns3:sSub>
      </ns3:oMath>
      <w:r>
        <w:t xml:space="preserve">) for this gap, where</w:t>
      </w:r>
      <w:r>
        <w:t xml:space="preserve"> </w:t>
      </w:r>
      <w:r>
        <w:t xml:space="preserve">“ontological”</w:t>
      </w:r>
      <w:r>
        <w:t xml:space="preserve"> </w:t>
      </w:r>
      <w:r>
        <w:t xml:space="preserve">is used as an explanatory label for maintenance costs spanning representation and action layers. Within Selective Reality Theory,</w:t>
      </w:r>
      <w:r>
        <w:t xml:space="preserve"> </w:t>
      </w:r>
      <ns3:oMath>
        <ns3:sSub>
          <ns3:e>
            <ns3:r>
              <ns3:rPr>
                <ns3:sty ns3:val="p"/>
              </ns3:rPr>
              <ns3:t>Ψ</ns3:t>
            </ns3:r>
          </ns3:e>
          <ns3:sub>
            <ns3:r>
              <ns3:t>f</ns3:t>
            </ns3:r>
          </ns3:sub>
        </ns3:sSub>
      </ns3:oMath>
      <w:r>
        <w:t xml:space="preserve"> </w:t>
      </w:r>
      <w:r>
        <w:t xml:space="preserve">is specified at two levels: an empirical latent variable and a mechanistic control-cost model (integrated control effort and information-geometric deviation under baseline drift). Subjective distress is modeled as a hazard-family function of smoothed friction change under appraisal constraints, and executive collapse is formulated as a bandwidth saturation event when friction and noise costs exceed available selection power. To maximize falsifiability, the primary validation chain is low-cost and replicable: behavioral control tasks, adjusted linguistic modal-ratio scoring, and autonomic physiology (HRV/SCR). Neural and biochemical markers (e.g., PCI, Fisher geometry, theta-gamma coupling, ROS) are positioned as optional later-phase adjudication tests. Major depressive disorder, obsessive-compulsive disorder, and Parkinson’s disease are used as boundary use cases for parameter stress-testing rather than as claims of full nosological replacement. We formulate five pre-registration-ready hypotheses with explicit falsification thresholds, including estimation of a critical load parameter for the knowing-doing transition. No new data are presented. The manuscript provides a theory-to-experiment framework for direct empirical adjudication.</w:t>
      </w:r>
    </w:p>
    <w:p>
      <w:r>
        <w:pict>
          <ns1:rect style="width:0;height:1.5pt" ns2:hralign="center" ns2:hrstd="t" ns2:hr="t"/>
        </w:pict>
      </w:r>
    </w:p>
    <w:bookmarkEnd w:id="9"/>
    <w:bookmarkStart w:id="13" w:name="introduction"/>
    <w:p>
      <w:pPr>
        <w:pStyle w:val="Heading2"/>
      </w:pPr>
      <w:r>
        <w:t xml:space="preserve">1. Introduction</w:t>
      </w:r>
    </w:p>
    <w:bookmarkStart w:id="10" w:name="the-knowingdoing-gap"/>
    <w:p>
      <w:pPr>
        <w:pStyle w:val="Heading3"/>
      </w:pPr>
      <w:r>
        <w:t xml:space="preserve">1.1 The Knowing–Doing Gap</w:t>
      </w:r>
    </w:p>
    <w:p>
      <w:pPr>
        <w:pStyle w:val="FirstParagraph"/>
      </w:pPr>
      <w:r>
        <w:t xml:space="preserve">Consider three clinical scenarios. A patient with Parkinson’s disease can describe, in precise detail, the sequence of movements required to stand from a chair — yet remains seated, unable to initiate the motor program. A patient with obsessive-compulsive disorder recognizes that her hand-washing compulsion is irrational and disproportionate — yet cannot resist executing it. A patient with major depressive disorder articulates what steps would improve his situation — exercise, social contact, medication adherence — yet lies immobile, unable to translate knowledge into action.</w:t>
      </w:r>
    </w:p>
    <w:p>
      <w:pPr>
        <w:pStyle w:val="BodyText"/>
      </w:pPr>
      <w:r>
        <w:t xml:space="preserve">These scenarios share a striking structural similarity: the agent’s representational model of the world and of appropriate action remains intact, while the capacity to</w:t>
      </w:r>
      <w:r>
        <w:t xml:space="preserve"> </w:t>
      </w:r>
      <w:r>
        <w:rPr>
          <w:i/>
          <w:iCs/>
        </w:rPr>
        <w:t xml:space="preserve">implement</w:t>
      </w:r>
      <w:r>
        <w:t xml:space="preserve"> </w:t>
      </w:r>
      <w:r>
        <w:t xml:space="preserve">that knowledge is compromised. This dissociation between knowing and doing — what we term the</w:t>
      </w:r>
      <w:r>
        <w:t xml:space="preserve"> </w:t>
      </w:r>
      <w:r>
        <w:rPr>
          <w:i/>
          <w:iCs/>
        </w:rPr>
        <w:t xml:space="preserve">knowing–doing gap</w:t>
      </w:r>
      <w:r>
        <w:t xml:space="preserve"> </w:t>
      </w:r>
      <w:r>
        <w:t xml:space="preserve">— is among the most clinically significant yet theoretically underspecified phenomena in cognitive neuroscience. While executive function research has catalogued the behavioral signatures of this gap extensively (Miyake et al., 2000; Diamond, 2013), and neuroimaging studies have identified associated neural substrates (Stuss and Alexander, 2007; Miller and Cohen, 2001), no existing framework provides a</w:t>
      </w:r>
      <w:r>
        <w:t xml:space="preserve"> </w:t>
      </w:r>
      <w:r>
        <w:rPr>
          <w:i/>
          <w:iCs/>
        </w:rPr>
        <w:t xml:space="preserve">unified quantitative account</w:t>
      </w:r>
      <w:r>
        <w:t xml:space="preserve"> </w:t>
      </w:r>
      <w:r>
        <w:t xml:space="preserve">that explains why knowledge and action can decouple, predicts when they will, and specifies how to measure the decoupling across behavioral, physiological, neural, and linguistic domains.</w:t>
      </w:r>
    </w:p>
    <w:bookmarkEnd w:id="10"/>
    <w:bookmarkStart w:id="11" w:name="limitations-of-current-frameworks"/>
    <w:p>
      <w:pPr>
        <w:pStyle w:val="Heading3"/>
      </w:pPr>
      <w:r>
        <w:t xml:space="preserve">1.2 Limitations of Current Frameworks</w:t>
      </w:r>
    </w:p>
    <w:p>
      <w:pPr>
        <w:pStyle w:val="FirstParagraph"/>
      </w:pPr>
      <w:r>
        <w:t xml:space="preserve">Several theoretical frameworks address aspects of the knowing–doing gap, but each captures only a partial picture.</w:t>
      </w:r>
    </w:p>
    <w:p>
      <w:pPr>
        <w:pStyle w:val="BodyText"/>
      </w:pPr>
      <w:r>
        <w:rPr>
          <w:b/>
          <w:bCs/>
        </w:rPr>
        <w:t xml:space="preserve">Cognitive load theory</w:t>
      </w:r>
      <w:r>
        <w:t xml:space="preserve"> </w:t>
      </w:r>
      <w:r>
        <w:t xml:space="preserve">(Sweller, 1988; Sweller et al., 2019) quantifies the demands placed on working memory during learning and task execution. While influential in educational psychology, it remains a purely behavioral construct without physiological or neural grounding, and it does not address the</w:t>
      </w:r>
      <w:r>
        <w:t xml:space="preserve"> </w:t>
      </w:r>
      <w:r>
        <w:rPr>
          <w:i/>
          <w:iCs/>
        </w:rPr>
        <w:t xml:space="preserve">maintenance cost</w:t>
      </w:r>
      <w:r>
        <w:t xml:space="preserve"> </w:t>
      </w:r>
      <w:r>
        <w:t xml:space="preserve">of sustaining a selected state over time against competing defaults.</w:t>
      </w:r>
    </w:p>
    <w:p>
      <w:pPr>
        <w:pStyle w:val="BodyText"/>
      </w:pPr>
      <w:r>
        <w:rPr>
          <w:b/>
          <w:bCs/>
        </w:rPr>
        <w:t xml:space="preserve">The Free Energy Principle</w:t>
      </w:r>
      <w:r>
        <w:t xml:space="preserve"> </w:t>
      </w:r>
      <w:r>
        <w:t xml:space="preserve">(FEP; Friston, 2010) provides an elegant variational framework in which organisms minimize prediction error. The complexity term in variational free energy (</w:t>
      </w:r>
      <ns3:oMath>
        <ns3:sSub>
          <ns3:e>
            <ns3:r>
              <ns3:t>D</ns3:t>
            </ns3:r>
          </ns3:e>
          <ns3:sub>
            <ns3:r>
              <ns3:t>K</ns3:t>
            </ns3:r>
            <ns3:r>
              <ns3:t>L</ns3:t>
            </ns3:r>
          </ns3:sub>
        </ns3:sSub>
        <ns3:r>
          <ns3:rPr>
            <ns3:sty ns3:val="p"/>
          </ns3:rPr>
          <ns3:t>[</ns3:t>
        </ns3:r>
        <ns3:r>
          <ns3:t>Q</ns3:t>
        </ns3:r>
        <ns3:r>
          <ns3:rPr>
            <ns3:sty ns3:val="p"/>
          </ns3:rPr>
          <ns3:t>∥</ns3:t>
        </ns3:r>
        <ns3:r>
          <ns3:t>P</ns3:t>
        </ns3:r>
        <ns3:r>
          <ns3:rPr>
            <ns3:sty ns3:val="p"/>
          </ns3:rPr>
          <ns3:t>]</ns3:t>
        </ns3:r>
      </ns3:oMath>
      <w:r>
        <w:t xml:space="preserve">) captures some of what we mean by</w:t>
      </w:r>
      <w:r>
        <w:t xml:space="preserve"> </w:t>
      </w:r>
      <w:r>
        <w:t xml:space="preserve">“friction”</w:t>
      </w:r>
      <w:r>
        <w:t xml:space="preserve"> </w:t>
      </w:r>
      <w:r>
        <w:t xml:space="preserve">— the cost of maintaining a model that deviates from priors. However, FEP treats this cost as something to be</w:t>
      </w:r>
      <w:r>
        <w:t xml:space="preserve"> </w:t>
      </w:r>
      <w:r>
        <w:rPr>
          <w:i/>
          <w:iCs/>
        </w:rPr>
        <w:t xml:space="preserve">minimized</w:t>
      </w:r>
      <w:r>
        <w:t xml:space="preserve">, and does not provide a framework for situations in which sustained high deviation cost is adaptive (e.g., creative problem-solving, ethical resistance to default heuristics) or for the</w:t>
      </w:r>
      <w:r>
        <w:t xml:space="preserve"> </w:t>
      </w:r>
      <w:r>
        <w:rPr>
          <w:i/>
          <w:iCs/>
        </w:rPr>
        <w:t xml:space="preserve">failure mode</w:t>
      </w:r>
      <w:r>
        <w:t xml:space="preserve"> </w:t>
      </w:r>
      <w:r>
        <w:t xml:space="preserve">in which deviation cost overwhelms the system’s capacity.</w:t>
      </w:r>
    </w:p>
    <w:p>
      <w:pPr>
        <w:pStyle w:val="BodyText"/>
      </w:pPr>
      <w:r>
        <w:rPr>
          <w:b/>
          <w:bCs/>
        </w:rPr>
        <w:t xml:space="preserve">Integrated Information Theory</w:t>
      </w:r>
      <w:r>
        <w:t xml:space="preserve"> </w:t>
      </w:r>
      <w:r>
        <w:t xml:space="preserve">(IIT; Tononi et al., 2016) offers a scalar measure of consciousness (</w:t>
      </w:r>
      <ns3:oMath>
        <ns3:r>
          <ns3:rPr>
            <ns3:sty ns3:val="p"/>
          </ns3:rPr>
          <ns3:t>Φ</ns3:t>
        </ns3:r>
      </ns3:oMath>
      <w:r>
        <w:t xml:space="preserve">) based on the irreducibility of cause-effect structures. While</w:t>
      </w:r>
      <w:r>
        <w:t xml:space="preserve"> </w:t>
      </w:r>
      <ns3:oMath>
        <ns3:r>
          <ns3:rPr>
            <ns3:sty ns3:val="p"/>
          </ns3:rPr>
          <ns3:t>Φ</ns3:t>
        </ns3:r>
      </ns3:oMath>
      <w:r>
        <w:t xml:space="preserve"> </w:t>
      </w:r>
      <w:r>
        <w:t xml:space="preserve">captures integration, it does not address the</w:t>
      </w:r>
      <w:r>
        <w:t xml:space="preserve"> </w:t>
      </w:r>
      <w:r>
        <w:rPr>
          <w:i/>
          <w:iCs/>
        </w:rPr>
        <w:t xml:space="preserve">dynamic cost</w:t>
      </w:r>
      <w:r>
        <w:t xml:space="preserve"> </w:t>
      </w:r>
      <w:r>
        <w:t xml:space="preserve">of maintaining integrated states or the transition costs between states. It provides a snapshot measure, not a cost function.</w:t>
      </w:r>
    </w:p>
    <w:p>
      <w:pPr>
        <w:pStyle w:val="BodyText"/>
      </w:pPr>
      <w:r>
        <w:rPr>
          <w:b/>
          <w:bCs/>
        </w:rPr>
        <w:t xml:space="preserve">Allostatic load</w:t>
      </w:r>
      <w:r>
        <w:t xml:space="preserve"> </w:t>
      </w:r>
      <w:r>
        <w:t xml:space="preserve">(McEwen, 1998; McEwen and Stellar, 1993) captures the cumulative physiological cost of chronic stress adaptation, but operates at too coarse a temporal grain to explain moment-to-moment executive breakdowns, and lacks a formal connection to information-theoretic quantities.</w:t>
      </w:r>
    </w:p>
    <w:p>
      <w:pPr>
        <w:pStyle w:val="BodyText"/>
      </w:pPr>
      <w:r>
        <w:rPr>
          <w:b/>
          <w:bCs/>
        </w:rPr>
        <w:t xml:space="preserve">Classical ego depletion models</w:t>
      </w:r>
      <w:r>
        <w:t xml:space="preserve"> </w:t>
      </w:r>
      <w:r>
        <w:t xml:space="preserve">conceptualize self-control as a limited resource (Baumeister et al., 1998), but glucose-specific substrate interpretations have received substantial methodological criticism, weak meta-analytic support, and replication concerns (Hagger et al., 2016; Vadillo et al., 2016). This motivates treating metabolic readouts as testable correlates rather than fixed assumptions.</w:t>
      </w:r>
    </w:p>
    <w:p>
      <w:pPr>
        <w:pStyle w:val="BodyText"/>
      </w:pPr>
      <w:r>
        <w:t xml:space="preserve">These frameworks are not interchangeable with the present proposal. The</w:t>
      </w:r>
      <w:r>
        <w:t xml:space="preserve"> </w:t>
      </w:r>
      <ns3:oMath>
        <ns3:sSub>
          <ns3:e>
            <ns3:r>
              <ns3:rPr>
                <ns3:sty ns3:val="p"/>
              </ns3:rPr>
              <ns3:t>Ψ</ns3:t>
            </ns3:r>
          </ns3:e>
          <ns3:sub>
            <ns3:r>
              <ns3:t>f</ns3:t>
            </ns3:r>
          </ns3:sub>
        </ns3:sSub>
      </ns3:oMath>
      <w:r>
        <w:t xml:space="preserve"> </w:t>
      </w:r>
      <w:r>
        <w:t xml:space="preserve">framework makes three specific predictions that are jointly stronger than prior accounts: a nonlinear critical-load transition (</w:t>
      </w:r>
      <ns3:oMath>
        <ns3:sSub>
          <ns3:e>
            <ns3:r>
              <ns3:t>ρ</ns3:t>
            </ns3:r>
          </ns3:e>
          <ns3:sub>
            <ns3:r>
              <ns3:t>c</ns3:t>
            </ns3:r>
          </ns3:sub>
        </ns3:sSub>
      </ns3:oMath>
      <w:r>
        <w:t xml:space="preserve">), context-sensitive modal-language shifts (</w:t>
      </w:r>
      <ns3:oMath>
        <ns3:sSub>
          <ns3:e>
            <ns3:r>
              <ns3:t>μ</ns3:t>
            </ns3:r>
          </ns3:e>
          <ns3:sub>
            <ns3:r>
              <ns3:rPr>
                <ns3:nor/>
                <ns3:sty ns3:val="p"/>
              </ns3:rPr>
              <ns3:t>sem</ns3:t>
            </ns3:r>
          </ns3:sub>
        </ns3:sSub>
      </ns3:oMath>
      <w:r>
        <w:t xml:space="preserve">), and convergence of behavioral-linguistic-physiological indicators onto a single latent factor.</w:t>
      </w:r>
    </w:p>
    <w:p>
      <w:pPr>
        <w:pStyle w:val="BodyText"/>
      </w:pPr>
      <w:r>
        <w:t xml:space="preserve">The critical gap is this: none of these frameworks provides a</w:t>
      </w:r>
      <w:r>
        <w:t xml:space="preserve"> </w:t>
      </w:r>
      <w:r>
        <w:rPr>
          <w:i/>
          <w:iCs/>
        </w:rPr>
        <w:t xml:space="preserve">single formally defined quantity</w:t>
      </w:r>
      <w:r>
        <w:t xml:space="preserve"> </w:t>
      </w:r>
      <w:r>
        <w:t xml:space="preserve">that (a) is grounded in both information-theoretic and thermodynamic principles, (b) generates measurable predictions across behavioral, physiological, neural, and linguistic domains simultaneously, (c) explains the knowing–doing gap as a specific failure mode, and (d) produces disorder-specific clinical predictions.</w:t>
      </w:r>
    </w:p>
    <w:bookmarkEnd w:id="11"/>
    <w:bookmarkStart w:id="12" w:name="contribution-and-scope"/>
    <w:p>
      <w:pPr>
        <w:pStyle w:val="Heading3"/>
      </w:pPr>
      <w:r>
        <w:t xml:space="preserve">1.3 Contribution and Scope</w:t>
      </w:r>
    </w:p>
    <w:p>
      <w:pPr>
        <w:pStyle w:val="FirstParagraph"/>
      </w:pPr>
      <w:r>
        <w:t xml:space="preserve">In this paper, we introduce</w:t>
      </w:r>
      <w:r>
        <w:t xml:space="preserve"> </w:t>
      </w:r>
      <w:r>
        <w:rPr>
          <w:i/>
          <w:iCs/>
        </w:rPr>
        <w:t xml:space="preserve">ontological friction</w:t>
      </w:r>
      <w:r>
        <w:t xml:space="preserve"> </w:t>
      </w:r>
      <w:r>
        <w:t xml:space="preserve">(</w:t>
      </w:r>
      <ns3:oMath>
        <ns3:sSub>
          <ns3:e>
            <ns3:r>
              <ns3:rPr>
                <ns3:sty ns3:val="p"/>
              </ns3:rPr>
              <ns3:t>Ψ</ns3:t>
            </ns3:r>
          </ns3:e>
          <ns3:sub>
            <ns3:r>
              <ns3:t>f</ns3:t>
            </ns3:r>
          </ns3:sub>
        </ns3:sSub>
      </ns3:oMath>
      <w:r>
        <w:t xml:space="preserve">), formalized within Selective Reality Theory (SRT), as a candidate unifying quantity. We define</w:t>
      </w:r>
      <w:r>
        <w:t xml:space="preserve"> </w:t>
      </w:r>
      <ns3:oMath>
        <ns3:sSub>
          <ns3:e>
            <ns3:r>
              <ns3:rPr>
                <ns3:sty ns3:val="p"/>
              </ns3:rPr>
              <ns3:t>Ψ</ns3:t>
            </ns3:r>
          </ns3:e>
          <ns3:sub>
            <ns3:r>
              <ns3:t>f</ns3:t>
            </ns3:r>
          </ns3:sub>
        </ns3:sSub>
      </ns3:oMath>
      <w:r>
        <w:t xml:space="preserve"> </w:t>
      </w:r>
      <w:r>
        <w:t xml:space="preserve">as a measurable control-cost construct and operationalize it through a staged strategy: core low-cost validation first (behavioral + linguistic + autonomic physiology), then high-cost expansion modalities (neural and biochemical). The clinical examples (MDD, OCD, and PD) are treated as boundary use cases for parameter drift and gating stress tests, not as attempts to fully replace existing disease-specific pathophysiology. The main text uses a compact three-level notation (</w:t>
      </w:r>
      <ns3:oMath>
        <ns3:sSub>
          <ns3:e>
            <ns3:r>
              <ns3:t>L</ns3:t>
            </ns3:r>
          </ns3:e>
          <ns3:sub>
            <ns3:r>
              <ns3:t>0</ns3:t>
            </ns3:r>
          </ns3:sub>
        </ns3:sSub>
        <ns3:r>
          <ns3:rPr>
            <ns3:sty ns3:val="p"/>
          </ns3:rPr>
          <ns3:t>,</ns3:t>
        </ns3:r>
        <ns3:sSub>
          <ns3:e>
            <ns3:r>
              <ns3:t>L</ns3:t>
            </ns3:r>
          </ns3:e>
          <ns3:sub>
            <ns3:r>
              <ns3:t>1</ns3:t>
            </ns3:r>
          </ns3:sub>
        </ns3:sSub>
        <ns3:r>
          <ns3:rPr>
            <ns3:sty ns3:val="p"/>
          </ns3:rPr>
          <ns3:t>,</ns3:t>
        </ns3:r>
        <ns3:sSub>
          <ns3:e>
            <ns3:r>
              <ns3:t>L</ns3:t>
            </ns3:r>
          </ns3:e>
          <ns3:sub>
            <ns3:r>
              <ns3:t>2</ns3:t>
            </ns3:r>
          </ns3:sub>
        </ns3:sSub>
      </ns3:oMath>
      <w:r>
        <w:t xml:space="preserve">); a mapping to standard control/predictive-processing terminology is provided in Appendix A for readers who prefer established vocabulary.</w:t>
      </w:r>
    </w:p>
    <w:p>
      <w:pPr>
        <w:pStyle w:val="BodyText"/>
      </w:pPr>
      <w:r>
        <w:t xml:space="preserve">This is a theoretical and computational contribution. We report no empirical data. We follow the tradition of foundational theoretical papers in consciousness science (Tononi, 2004), allostatic regulation (McEwen, 1998), and predictive processing (Rao and Ballard, 1999) that established formal frameworks prior to systematic empirical validation. Our aim is to provide the theoretical architecture and measurement protocols that enable such validation.</w:t>
      </w:r>
    </w:p>
    <w:p>
      <w:r>
        <w:pict>
          <ns1:rect style="width:0;height:1.5pt" ns2:hralign="center" ns2:hrstd="t" ns2:hr="t"/>
        </w:pict>
      </w:r>
    </w:p>
    <w:bookmarkEnd w:id="12"/>
    <w:bookmarkEnd w:id="13"/>
    <w:bookmarkStart w:id="23" w:name="X26b685faad0eeef5fad40820c1e7028b6f7b605"/>
    <w:p>
      <w:pPr>
        <w:pStyle w:val="Heading2"/>
      </w:pPr>
      <w:r>
        <w:t xml:space="preserve">2. Theoretical Framework: Selective Reality Theory and Ontological Friction</w:t>
      </w:r>
    </w:p>
    <w:bookmarkStart w:id="14" w:name="Xd253b40e09125892186e91ce1144bb474aa2385"/>
    <w:p>
      <w:pPr>
        <w:pStyle w:val="Heading3"/>
      </w:pPr>
      <w:r>
        <w:t xml:space="preserve">2.0 Standard Terminology Bridge (Used Throughout Main Text)</w:t>
      </w:r>
    </w:p>
    <w:p>
      <w:pPr>
        <w:pStyle w:val="FirstParagraph"/>
      </w:pPr>
      <w:r>
        <w:t xml:space="preserve">To reduce interpretation burden, the main text uses a compact notation with direct computational-neuroscience meanings:</w:t>
      </w:r>
    </w:p>
    <w:p>
      <w:pPr>
        <w:pStyle w:val="Compact"/>
        <w:numPr>
          <w:ilvl w:val="0"/>
          <w:numId w:val="1001"/>
        </w:numPr>
      </w:pPr>
      <ns3:oMath>
        <ns3:sSub>
          <ns3:e>
            <ns3:r>
              <ns3:rPr>
                <ns3:sty ns3:val="p"/>
              </ns3:rPr>
              <ns3:t>Ψ</ns3:t>
            </ns3:r>
          </ns3:e>
          <ns3:sub>
            <ns3:r>
              <ns3:t>f</ns3:t>
            </ns3:r>
          </ns3:sub>
        </ns3:sSub>
      </ns3:oMath>
      <w:r>
        <w:t xml:space="preserve">: estimable control/execution cost (latent cross-modal factor). The term</w:t>
      </w:r>
      <w:r>
        <w:t xml:space="preserve"> </w:t>
      </w:r>
      <w:r>
        <w:t xml:space="preserve">“ontological”</w:t>
      </w:r>
      <w:r>
        <w:t xml:space="preserve"> </w:t>
      </w:r>
      <w:r>
        <w:t xml:space="preserve">is naming-level shorthand for cross-layer maintenance/switching cost, not a required metaphysical commitment.</w:t>
      </w:r>
    </w:p>
    <w:p>
      <w:pPr>
        <w:pStyle w:val="Compact"/>
        <w:numPr>
          <w:ilvl w:val="0"/>
          <w:numId w:val="1001"/>
        </w:numPr>
      </w:pPr>
      <ns3:oMath>
        <ns3:sSub>
          <ns3:e>
            <ns3:r>
              <ns3:t>P</ns3:t>
            </ns3:r>
          </ns3:e>
          <ns3:sub>
            <ns3:r>
              <ns3:rPr>
                <ns3:nor/>
                <ns3:sty ns3:val="p"/>
              </ns3:rPr>
              <ns3:t>sel</ns3:t>
            </ns3:r>
          </ns3:sub>
        </ns3:sSub>
      </ns3:oMath>
      <w:r>
        <w:t xml:space="preserve">: available control budget (selection capacity proxy).</w:t>
      </w:r>
    </w:p>
    <w:p>
      <w:pPr>
        <w:pStyle w:val="Compact"/>
        <w:numPr>
          <w:ilvl w:val="0"/>
          <w:numId w:val="1001"/>
        </w:numPr>
      </w:pPr>
      <ns3:oMath>
        <ns3:sSub>
          <ns3:e>
            <ns3:r>
              <ns3:t>L</ns3:t>
            </ns3:r>
          </ns3:e>
          <ns3:sub>
            <ns3:r>
              <ns3:t>0</ns3:t>
            </ns3:r>
          </ns3:sub>
        </ns3:sSub>
        <ns3:r>
          <ns3:rPr>
            <ns3:sty ns3:val="p"/>
          </ns3:rPr>
          <ns3:t>,</ns3:t>
        </ns3:r>
        <ns3:sSub>
          <ns3:e>
            <ns3:r>
              <ns3:t>L</ns3:t>
            </ns3:r>
          </ns3:e>
          <ns3:sub>
            <ns3:r>
              <ns3:t>1</ns3:t>
            </ns3:r>
          </ns3:sub>
        </ns3:sSub>
        <ns3:r>
          <ns3:rPr>
            <ns3:sty ns3:val="p"/>
          </ns3:rPr>
          <ns3:t>,</ns3:t>
        </ns3:r>
        <ns3:sSub>
          <ns3:e>
            <ns3:r>
              <ns3:t>L</ns3:t>
            </ns3:r>
          </ns3:e>
          <ns3:sub>
            <ns3:r>
              <ns3:t>2</ns3:t>
            </ns3:r>
          </ns3:sub>
        </ns3:sSub>
      </ns3:oMath>
      <w:r>
        <w:t xml:space="preserve">: candidate policy space, currently executed state, and slow prior/hyperprior constraints.</w:t>
      </w:r>
    </w:p>
    <w:p>
      <w:pPr>
        <w:pStyle w:val="Compact"/>
        <w:numPr>
          <w:ilvl w:val="0"/>
          <w:numId w:val="1001"/>
        </w:numPr>
      </w:pPr>
      <ns3:oMath>
        <ns3:sSub>
          <ns3:e>
            <ns3:acc>
              <ns3:accPr>
                <ns3:chr ns3:val="̂"/>
              </ns3:accPr>
              <ns3:e>
                <ns3:r>
                  <ns3:t>G</ns3:t>
                </ns3:r>
              </ns3:e>
            </ns3:acc>
          </ns3:e>
          <ns3:sub>
            <ns3:r>
              <ns3:t>θ</ns3:t>
            </ns3:r>
          </ns3:sub>
        </ns3:sSub>
      </ns3:oMath>
      <w:r>
        <w:t xml:space="preserve">: resource-bounded selection operator from candidate policies to active execution.</w:t>
      </w:r>
    </w:p>
    <w:p>
      <w:pPr>
        <w:pStyle w:val="FirstParagraph"/>
      </w:pPr>
      <w:r>
        <w:t xml:space="preserve">Appendix A retains the full SRT-to-standard mapping for readers who want one-to-one terminology correspondence.</w:t>
      </w:r>
    </w:p>
    <w:bookmarkEnd w:id="14"/>
    <w:bookmarkStart w:id="15" w:name="X0ae4e4f5035ecfd9a00780e310be7125565e1df"/>
    <w:p>
      <w:pPr>
        <w:pStyle w:val="Heading3"/>
      </w:pPr>
      <w:r>
        <w:t xml:space="preserve">2.1 A Minimal Selective Reality Theory Primer</w:t>
      </w:r>
    </w:p>
    <w:p>
      <w:pPr>
        <w:pStyle w:val="FirstParagraph"/>
      </w:pPr>
      <w:r>
        <w:t xml:space="preserve">Selective Reality Theory (SRT) is used here as a modeling architecture for selection and control costs. In this manuscript, the three-domain decomposition is treated as a pragmatic level-of-description choice rather than a mandatory metaphysical claim. Readers do not need to adopt a new global ontology to evaluate</w:t>
      </w:r>
      <w:r>
        <w:t xml:space="preserve"> </w:t>
      </w:r>
      <ns3:oMath>
        <ns3:sSub>
          <ns3:e>
            <ns3:r>
              <ns3:rPr>
                <ns3:sty ns3:val="p"/>
              </ns3:rPr>
              <ns3:t>Ψ</ns3:t>
            </ns3:r>
          </ns3:e>
          <ns3:sub>
            <ns3:r>
              <ns3:t>f</ns3:t>
            </ns3:r>
          </ns3:sub>
        </ns3:sSub>
      </ns3:oMath>
      <w:r>
        <w:t xml:space="preserve">: the same equations can be read as compatible with working-memory gating accounts and active-inference/predictive-coding control loops.</w:t>
      </w:r>
    </w:p>
    <w:p>
      <w:pPr>
        <w:pStyle w:val="BodyText"/>
      </w:pPr>
      <ns3:oMath>
        <ns3:sSub>
          <ns3:e>
            <ns3:r>
              <ns3:t>L</ns3:t>
            </ns3:r>
          </ns3:e>
          <ns3:sub>
            <ns3:r>
              <ns3:t>0</ns3:t>
            </ns3:r>
          </ns3:sub>
        </ns3:sSub>
      </ns3:oMath>
      <w:r>
        <w:rPr>
          <w:b/>
          <w:bCs/>
        </w:rPr>
        <w:t xml:space="preserve"> </w:t>
      </w:r>
      <w:r>
        <w:rPr>
          <w:b/>
          <w:bCs/>
        </w:rPr>
        <w:t xml:space="preserve">(candidate space / policy-relevant hypothesis space).</w:t>
      </w:r>
      <w:r>
        <w:t xml:space="preserve"> </w:t>
      </w:r>
      <ns3:oMath>
        <ns3:sSub>
          <ns3:e>
            <ns3:r>
              <ns3:t>L</ns3:t>
            </ns3:r>
          </ns3:e>
          <ns3:sub>
            <ns3:r>
              <ns3:t>0</ns3:t>
            </ns3:r>
          </ns3:sub>
        </ns3:sSub>
      </ns3:oMath>
      <w:r>
        <w:t xml:space="preserve"> </w:t>
      </w:r>
      <w:r>
        <w:t xml:space="preserve">denotes the candidate state or strategy set available to the agent at a given time. Operationally, this is the policy-relevant hypothesis space from which selections are made.</w:t>
      </w:r>
    </w:p>
    <w:p>
      <w:pPr>
        <w:pStyle w:val="BodyText"/>
      </w:pPr>
      <ns3:oMath>
        <ns3:sSub>
          <ns3:e>
            <ns3:r>
              <ns3:t>L</ns3:t>
            </ns3:r>
          </ns3:e>
          <ns3:sub>
            <ns3:r>
              <ns3:t>1</ns3:t>
            </ns3:r>
          </ns3:sub>
        </ns3:sSub>
      </ns3:oMath>
      <w:r>
        <w:rPr>
          <w:b/>
          <w:bCs/>
        </w:rPr>
        <w:t xml:space="preserve"> </w:t>
      </w:r>
      <w:r>
        <w:rPr>
          <w:b/>
          <w:bCs/>
        </w:rPr>
        <w:t xml:space="preserve">(currently executed percept-action state).</w:t>
      </w:r>
      <w:r>
        <w:t xml:space="preserve"> </w:t>
      </w:r>
      <ns3:oMath>
        <ns3:sSub>
          <ns3:e>
            <ns3:r>
              <ns3:t>L</ns3:t>
            </ns3:r>
          </ns3:e>
          <ns3:sub>
            <ns3:r>
              <ns3:t>1</ns3:t>
            </ns3:r>
          </ns3:sub>
        </ns3:sSub>
      </ns3:oMath>
      <w:r>
        <w:t xml:space="preserve"> </w:t>
      </w:r>
      <w:r>
        <w:t xml:space="preserve">denotes the active state being implemented now (perceptual interpretation plus action policy in force).</w:t>
      </w:r>
    </w:p>
    <w:p>
      <w:pPr>
        <w:pStyle w:val="BodyText"/>
      </w:pPr>
      <ns3:oMath>
        <ns3:sSub>
          <ns3:e>
            <ns3:r>
              <ns3:t>L</ns3:t>
            </ns3:r>
          </ns3:e>
          <ns3:sub>
            <ns3:r>
              <ns3:t>2</ns3:t>
            </ns3:r>
          </ns3:sub>
        </ns3:sSub>
      </ns3:oMath>
      <w:r>
        <w:rPr>
          <w:b/>
          <w:bCs/>
        </w:rPr>
        <w:t xml:space="preserve"> </w:t>
      </w:r>
      <w:r>
        <w:rPr>
          <w:b/>
          <w:bCs/>
        </w:rPr>
        <w:t xml:space="preserve">(slow variables).</w:t>
      </w:r>
      <w:r>
        <w:t xml:space="preserve"> </w:t>
      </w:r>
      <ns3:oMath>
        <ns3:sSub>
          <ns3:e>
            <ns3:r>
              <ns3:t>L</ns3:t>
            </ns3:r>
          </ns3:e>
          <ns3:sub>
            <ns3:r>
              <ns3:t>2</ns3:t>
            </ns3:r>
          </ns3:sub>
        </ns3:sSub>
      </ns3:oMath>
      <w:r>
        <w:t xml:space="preserve"> </w:t>
      </w:r>
      <w:r>
        <w:t xml:space="preserve">denotes slower constraints that shape future selections, including habits, model priors, and hyperpriors. In this paper,</w:t>
      </w:r>
      <w:r>
        <w:t xml:space="preserve"> </w:t>
      </w:r>
      <ns3:oMath>
        <ns3:sSub>
          <ns3:e>
            <ns3:r>
              <ns3:t>L</ns3:t>
            </ns3:r>
          </ns3:e>
          <ns3:sub>
            <ns3:r>
              <ns3:t>2</ns3:t>
            </ns3:r>
          </ns3:sub>
        </ns3:sSub>
      </ns3:oMath>
      <w:r>
        <w:t xml:space="preserve"> </w:t>
      </w:r>
      <w:r>
        <w:t xml:space="preserve">is the level connected to parameter drift, switching viscosity, and trait-like control limits.</w:t>
      </w:r>
    </w:p>
    <w:p>
      <w:pPr>
        <w:pStyle w:val="BodyText"/>
      </w:pPr>
      <w:r>
        <w:t xml:space="preserve">The three layers are linked by the</w:t>
      </w:r>
      <w:r>
        <w:t xml:space="preserve"> </w:t>
      </w:r>
      <w:r>
        <w:rPr>
          <w:b/>
          <w:bCs/>
        </w:rPr>
        <w:t xml:space="preserve">selection operator</w:t>
      </w:r>
      <w:r>
        <w:t xml:space="preserve"> </w:t>
      </w:r>
      <ns3:oMath>
        <ns3:sSub>
          <ns3:e>
            <ns3:acc>
              <ns3:accPr>
                <ns3:chr ns3:val="̂"/>
              </ns3:accPr>
              <ns3:e>
                <ns3:r>
                  <ns3:t>G</ns3:t>
                </ns3:r>
              </ns3:e>
            </ns3:acc>
          </ns3:e>
          <ns3:sub>
            <ns3:r>
              <ns3:t>θ</ns3:t>
            </ns3:r>
          </ns3:sub>
        </ns3:sSub>
      </ns3:oMath>
      <w:r>
        <w:t xml:space="preserve">, which maps candidates into executed states:</w:t>
      </w:r>
    </w:p>
    <w:p>
      <w:pPr>
        <w:pStyle w:val="BodyText"/>
      </w:pPr>
      <ns3:oMathPara>
        <ns3:oMathParaPr>
          <ns3:jc ns3:val="center"/>
        </ns3:oMathParaPr>
        <ns3:oMath>
          <ns3:sSub>
            <ns3:e>
              <ns3:r>
                <ns3:t>L</ns3:t>
              </ns3:r>
            </ns3:e>
            <ns3:sub>
              <ns3:r>
                <ns3:t>1</ns3:t>
              </ns3:r>
            </ns3:sub>
          </ns3:sSub>
          <ns3:r>
            <ns3:rPr>
              <ns3:sty ns3:val="p"/>
            </ns3:rPr>
            <ns3:t>(</ns3:t>
          </ns3:r>
          <ns3:r>
            <ns3:t>t</ns3:t>
          </ns3:r>
          <ns3:r>
            <ns3:rPr>
              <ns3:sty ns3:val="p"/>
            </ns3:rPr>
            <ns3:t>)</ns3:t>
          </ns3:r>
          <ns3:r>
            <ns3:rPr>
              <ns3:sty ns3:val="p"/>
            </ns3:rPr>
            <ns3:t>=</ns3:t>
          </ns3:r>
          <ns3:sSub>
            <ns3:e>
              <ns3:acc>
                <ns3:accPr>
                  <ns3:chr ns3:val="̂"/>
                </ns3:accPr>
                <ns3:e>
                  <ns3:r>
                    <ns3:t>G</ns3:t>
                  </ns3:r>
                </ns3:e>
              </ns3:acc>
            </ns3:e>
            <ns3:sub>
              <ns3:r>
                <ns3:t>θ</ns3:t>
              </ns3:r>
            </ns3:sub>
          </ns3:sSub>
          <ns3:r>
            <ns3:rPr>
              <ns3:sty ns3:val="p"/>
            </ns3:rPr>
            <ns3:t>[</ns3:t>
          </ns3:r>
          <ns3:sSub>
            <ns3:e>
              <ns3:r>
                <ns3:t>L</ns3:t>
              </ns3:r>
            </ns3:e>
            <ns3:sub>
              <ns3:r>
                <ns3:t>0</ns3:t>
              </ns3:r>
            </ns3:sub>
          </ns3:sSub>
          <ns3:r>
            <ns3:rPr>
              <ns3:sty ns3:val="p"/>
            </ns3:rPr>
            <ns3:t>(</ns3:t>
          </ns3:r>
          <ns3:r>
            <ns3:t>t</ns3:t>
          </ns3:r>
          <ns3:r>
            <ns3:rPr>
              <ns3:sty ns3:val="p"/>
            </ns3:rPr>
            <ns3:t>)</ns3:t>
          </ns3:r>
          <ns3:r>
            <ns3:rPr>
              <ns3:sty ns3:val="p"/>
            </ns3:rPr>
            <ns3:t>]</ns3:t>
          </ns3:r>
        </ns3:oMath>
      </ns3:oMathPara>
    </w:p>
    <w:p>
      <w:pPr>
        <w:pStyle w:val="FirstParagraph"/>
      </w:pPr>
      <w:r>
        <w:t xml:space="preserve">where</w:t>
      </w:r>
      <w:r>
        <w:t xml:space="preserve"> </w:t>
      </w:r>
      <ns3:oMath>
        <ns3:r>
          <ns3:t>θ</ns3:t>
        </ns3:r>
      </ns3:oMath>
      <w:r>
        <w:t xml:space="preserve"> </w:t>
      </w:r>
      <w:r>
        <w:t xml:space="preserve">denotes finite embodiment parameters (e.g., network weights, neuromodulatory state, and metabolic constraints). The subscript</w:t>
      </w:r>
      <w:r>
        <w:t xml:space="preserve"> </w:t>
      </w:r>
      <ns3:oMath>
        <ns3:r>
          <ns3:t>θ</ns3:t>
        </ns3:r>
      </ns3:oMath>
      <w:r>
        <w:t xml:space="preserve"> </w:t>
      </w:r>
      <w:r>
        <w:t xml:space="preserve">emphasizes resource-bounded selection.</w:t>
      </w:r>
    </w:p>
    <w:p>
      <w:pPr>
        <w:pStyle w:val="BodyText"/>
      </w:pPr>
      <w:r>
        <w:t xml:space="preserve">The convergence domain updates through stabilization:</w:t>
      </w:r>
    </w:p>
    <w:p>
      <w:pPr>
        <w:pStyle w:val="BodyText"/>
      </w:pPr>
      <ns3:oMathPara>
        <ns3:oMathParaPr>
          <ns3:jc ns3:val="center"/>
        </ns3:oMathParaPr>
        <ns3:oMath>
          <ns3:sSub>
            <ns3:e>
              <ns3:r>
                <ns3:t>L</ns3:t>
              </ns3:r>
            </ns3:e>
            <ns3:sub>
              <ns3:r>
                <ns3:t>2</ns3:t>
              </ns3:r>
            </ns3:sub>
          </ns3:sSub>
          <ns3:r>
            <ns3:rPr>
              <ns3:sty ns3:val="p"/>
            </ns3:rPr>
            <ns3:t>(</ns3:t>
          </ns3:r>
          <ns3:r>
            <ns3:t>t</ns3:t>
          </ns3:r>
          <ns3:r>
            <ns3:rPr>
              <ns3:sty ns3:val="p"/>
            </ns3:rPr>
            <ns3:t>+</ns3:t>
          </ns3:r>
          <ns3:r>
            <ns3:t>1</ns3:t>
          </ns3:r>
          <ns3:r>
            <ns3:rPr>
              <ns3:sty ns3:val="p"/>
            </ns3:rPr>
            <ns3:t>)</ns3:t>
          </ns3:r>
          <ns3:r>
            <ns3:rPr>
              <ns3:sty ns3:val="p"/>
            </ns3:rPr>
            <ns3:t>=</ns3:t>
          </ns3:r>
          <ns3:r>
            <ns3:rPr>
              <ns3:nor/>
              <ns3:sty ns3:val="p"/>
            </ns3:rPr>
            <ns3:t>Stabilize</ns3:t>
          </ns3:r>
          <ns3:r>
            <ns3:rPr>
              <ns3:sty ns3:val="p"/>
            </ns3:rPr>
            <ns3:t>(</ns3:t>
          </ns3:r>
          <ns3:sSub>
            <ns3:e>
              <ns3:r>
                <ns3:t>L</ns3:t>
              </ns3:r>
            </ns3:e>
            <ns3:sub>
              <ns3:r>
                <ns3:t>2</ns3:t>
              </ns3:r>
            </ns3:sub>
          </ns3:sSub>
          <ns3:r>
            <ns3:rPr>
              <ns3:sty ns3:val="p"/>
            </ns3:rPr>
            <ns3:t>(</ns3:t>
          </ns3:r>
          <ns3:r>
            <ns3:t>t</ns3:t>
          </ns3:r>
          <ns3:r>
            <ns3:rPr>
              <ns3:sty ns3:val="p"/>
            </ns3:rPr>
            <ns3:t>)</ns3:t>
          </ns3:r>
          <ns3:r>
            <ns3:rPr>
              <ns3:sty ns3:val="p"/>
            </ns3:rPr>
            <ns3:t>,</ns3:t>
          </ns3:r>
          <ns3:r>
            <ns3:t> </ns3:t>
          </ns3:r>
          <ns3:sSub>
            <ns3:e>
              <ns3:r>
                <ns3:t>L</ns3:t>
              </ns3:r>
            </ns3:e>
            <ns3:sub>
              <ns3:r>
                <ns3:t>1</ns3:t>
              </ns3:r>
            </ns3:sub>
          </ns3:sSub>
          <ns3:r>
            <ns3:rPr>
              <ns3:sty ns3:val="p"/>
            </ns3:rPr>
            <ns3:t>(</ns3:t>
          </ns3:r>
          <ns3:r>
            <ns3:t>t</ns3:t>
          </ns3:r>
          <ns3:r>
            <ns3:rPr>
              <ns3:sty ns3:val="p"/>
            </ns3:rPr>
            <ns3:t>+</ns3:t>
          </ns3:r>
          <ns3:r>
            <ns3:t>1</ns3:t>
          </ns3:r>
          <ns3:r>
            <ns3:rPr>
              <ns3:sty ns3:val="p"/>
            </ns3:rPr>
            <ns3:t>)</ns3:t>
          </ns3:r>
          <ns3:r>
            <ns3:rPr>
              <ns3:sty ns3:val="p"/>
            </ns3:rPr>
            <ns3:t>)</ns3:t>
          </ns3:r>
        </ns3:oMath>
      </ns3:oMathPara>
    </w:p>
    <w:p>
      <w:pPr>
        <w:pStyle w:val="FirstParagraph"/>
      </w:pPr>
      <w:r>
        <w:t xml:space="preserve">Within this architecture, the key claim is that maintaining or switching</w:t>
      </w:r>
      <w:r>
        <w:t xml:space="preserve"> </w:t>
      </w:r>
      <ns3:oMath>
        <ns3:sSub>
          <ns3:e>
            <ns3:r>
              <ns3:t>L</ns3:t>
            </ns3:r>
          </ns3:e>
          <ns3:sub>
            <ns3:r>
              <ns3:t>1</ns3:t>
            </ns3:r>
          </ns3:sub>
        </ns3:sSub>
      </ns3:oMath>
      <w:r>
        <w:t xml:space="preserve"> </w:t>
      </w:r>
      <w:r>
        <w:t xml:space="preserve">relative to a baseline policy trajectory incurs a measurable control cost, termed ontological friction (</w:t>
      </w:r>
      <ns3:oMath>
        <ns3:sSub>
          <ns3:e>
            <ns3:r>
              <ns3:rPr>
                <ns3:sty ns3:val="p"/>
              </ns3:rPr>
              <ns3:t>Ψ</ns3:t>
            </ns3:r>
          </ns3:e>
          <ns3:sub>
            <ns3:r>
              <ns3:t>f</ns3:t>
            </ns3:r>
          </ns3:sub>
        </ns3:sSub>
      </ns3:oMath>
      <w:r>
        <w:t xml:space="preserve">), that constrains executive function.</w:t>
      </w:r>
    </w:p>
    <w:bookmarkEnd w:id="15"/>
    <w:bookmarkStart w:id="16" w:name="ontological-friction-formal-definition"/>
    <w:p>
      <w:pPr>
        <w:pStyle w:val="Heading3"/>
      </w:pPr>
      <w:r>
        <w:t xml:space="preserve">2.2 Ontological Friction: Formal Definition</w:t>
      </w:r>
    </w:p>
    <w:p>
      <w:pPr>
        <w:pStyle w:val="FirstParagraph"/>
      </w:pPr>
      <w:r>
        <w:t xml:space="preserve">We define ontological friction through a two-level specification designed for direct estimation and mechanistic testing.</w:t>
      </w:r>
    </w:p>
    <w:p>
      <w:pPr>
        <w:pStyle w:val="BodyText"/>
      </w:pPr>
      <w:r>
        <w:rPr>
          <w:b/>
          <w:bCs/>
        </w:rPr>
        <w:t xml:space="preserve">Definition 1A (Level-0 empirical latent variable).</w:t>
      </w:r>
      <w:r>
        <w:t xml:space="preserve"> </w:t>
      </w:r>
      <w:r>
        <w:t xml:space="preserve">At the measurement level,</w:t>
      </w:r>
      <w:r>
        <w:t xml:space="preserve"> </w:t>
      </w:r>
      <ns3:oMath>
        <ns3:sSub>
          <ns3:e>
            <ns3:r>
              <ns3:rPr>
                <ns3:sty ns3:val="p"/>
              </ns3:rPr>
              <ns3:t>Ψ</ns3:t>
            </ns3:r>
          </ns3:e>
          <ns3:sub>
            <ns3:r>
              <ns3:t>f</ns3:t>
            </ns3:r>
          </ns3:sub>
        </ns3:sSub>
      </ns3:oMath>
      <w:r>
        <w:t xml:space="preserve"> </w:t>
      </w:r>
      <w:r>
        <w:t xml:space="preserve">is a latent factor jointly loaded by behavioral, linguistic, and physiological indicators (with neural and biochemical indicators used as expansion modalities):</w:t>
      </w:r>
    </w:p>
    <w:p>
      <w:pPr>
        <w:pStyle w:val="BodyText"/>
      </w:pPr>
      <ns3:oMathPara>
        <ns3:oMathParaPr>
          <ns3:jc ns3:val="center"/>
        </ns3:oMathParaPr>
        <ns3:oMath>
          <ns3:sSub>
            <ns3:e>
              <ns3:r>
                <ns3:t>y</ns3:t>
              </ns3:r>
            </ns3:e>
            <ns3:sub>
              <ns3:r>
                <ns3:t>k</ns3:t>
              </ns3:r>
            </ns3:sub>
          </ns3:sSub>
          <ns3:r>
            <ns3:rPr>
              <ns3:sty ns3:val="p"/>
            </ns3:rPr>
            <ns3:t>=</ns3:t>
          </ns3:r>
          <ns3:sSub>
            <ns3:e>
              <ns3:r>
                <ns3:t>λ</ns3:t>
              </ns3:r>
            </ns3:e>
            <ns3:sub>
              <ns3:r>
                <ns3:t>k</ns3:t>
              </ns3:r>
            </ns3:sub>
          </ns3:sSub>
          <ns3:sSub>
            <ns3:e>
              <ns3:r>
                <ns3:rPr>
                  <ns3:sty ns3:val="p"/>
                </ns3:rPr>
                <ns3:t>Ψ</ns3:t>
              </ns3:r>
            </ns3:e>
            <ns3:sub>
              <ns3:r>
                <ns3:t>f</ns3:t>
              </ns3:r>
            </ns3:sub>
          </ns3:sSub>
          <ns3:r>
            <ns3:rPr>
              <ns3:sty ns3:val="p"/>
            </ns3:rPr>
            <ns3:t>+</ns3:t>
          </ns3:r>
          <ns3:sSub>
            <ns3:e>
              <ns3:r>
                <ns3:t>ε</ns3:t>
              </ns3:r>
            </ns3:e>
            <ns3:sub>
              <ns3:r>
                <ns3:t>k</ns3:t>
              </ns3:r>
            </ns3:sub>
          </ns3:sSub>
          <ns3:r>
            <ns3:rPr>
              <ns3:sty ns3:val="p"/>
            </ns3:rPr>
            <ns3:t>,</ns3:t>
          </ns3:r>
          <ns3:r>
            <ns3:t> </ns3:t>
          </ns3:r>
          <ns3:r>
            <ns3:t>k</ns3:t>
          </ns3:r>
          <ns3:r>
            <ns3:rPr>
              <ns3:sty ns3:val="p"/>
            </ns3:rPr>
            <ns3:t>=</ns3:t>
          </ns3:r>
          <ns3:r>
            <ns3:t>1</ns3:t>
          </ns3:r>
          <ns3:r>
            <ns3:rPr>
              <ns3:sty ns3:val="p"/>
            </ns3:rPr>
            <ns3:t>,</ns3:t>
          </ns3:r>
          <ns3:r>
            <ns3:rPr>
              <ns3:sty ns3:val="p"/>
            </ns3:rPr>
            <ns3:t>…</ns3:t>
          </ns3:r>
          <ns3:r>
            <ns3:rPr>
              <ns3:sty ns3:val="p"/>
            </ns3:rPr>
            <ns3:t>,</ns3:t>
          </ns3:r>
          <ns3:r>
            <ns3:t>K</ns3:t>
          </ns3:r>
          <ns3:r>
            <ns3:t>  </ns3:t>
          </ns3:r>
          <ns3:r>
            <ns3:rPr>
              <ns3:nor/>
              <ns3:sty ns3:val="p"/>
            </ns3:rPr>
            <ns3:t>(3a)</ns3:t>
          </ns3:r>
        </ns3:oMath>
      </ns3:oMathPara>
    </w:p>
    <w:p>
      <w:pPr>
        <w:pStyle w:val="FirstParagraph"/>
      </w:pPr>
      <w:r>
        <w:t xml:space="preserve">where</w:t>
      </w:r>
      <w:r>
        <w:t xml:space="preserve"> </w:t>
      </w:r>
      <ns3:oMath>
        <ns3:sSub>
          <ns3:e>
            <ns3:r>
              <ns3:t>y</ns3:t>
            </ns3:r>
          </ns3:e>
          <ns3:sub>
            <ns3:r>
              <ns3:t>k</ns3:t>
            </ns3:r>
          </ns3:sub>
        </ns3:sSub>
      </ns3:oMath>
      <w:r>
        <w:t xml:space="preserve"> </w:t>
      </w:r>
      <w:r>
        <w:t xml:space="preserve">are standardized observed indicators,</w:t>
      </w:r>
      <w:r>
        <w:t xml:space="preserve"> </w:t>
      </w:r>
      <ns3:oMath>
        <ns3:sSub>
          <ns3:e>
            <ns3:r>
              <ns3:t>λ</ns3:t>
            </ns3:r>
          </ns3:e>
          <ns3:sub>
            <ns3:r>
              <ns3:t>k</ns3:t>
            </ns3:r>
          </ns3:sub>
        </ns3:sSub>
      </ns3:oMath>
      <w:r>
        <w:t xml:space="preserve"> </w:t>
      </w:r>
      <w:r>
        <w:t xml:space="preserve">are factor loadings, and</w:t>
      </w:r>
      <w:r>
        <w:t xml:space="preserve"> </w:t>
      </w:r>
      <ns3:oMath>
        <ns3:sSub>
          <ns3:e>
            <ns3:r>
              <ns3:t>ε</ns3:t>
            </ns3:r>
          </ns3:e>
          <ns3:sub>
            <ns3:r>
              <ns3:t>k</ns3:t>
            </ns3:r>
          </ns3:sub>
        </ns3:sSub>
      </ns3:oMath>
      <w:r>
        <w:t xml:space="preserve"> </w:t>
      </w:r>
      <w:r>
        <w:t xml:space="preserve">are residuals. This is the estimand used in SEM/CFA analyses.</w:t>
      </w:r>
    </w:p>
    <w:p>
      <w:pPr>
        <w:pStyle w:val="BodyText"/>
      </w:pPr>
      <w:r>
        <w:rPr>
          <w:b/>
          <w:bCs/>
        </w:rPr>
        <w:t xml:space="preserve">Definition 1B (Level-1 mechanistic control cost).</w:t>
      </w:r>
      <w:r>
        <w:t xml:space="preserve"> </w:t>
      </w:r>
      <w:r>
        <w:t xml:space="preserve">At the mechanism level, let state dynamics be</w:t>
      </w:r>
    </w:p>
    <w:p>
      <w:pPr>
        <w:pStyle w:val="BodyText"/>
      </w:pPr>
      <ns3:oMathPara>
        <ns3:oMathParaPr>
          <ns3:jc ns3:val="center"/>
        </ns3:oMathParaPr>
        <ns3:oMath>
          <ns3:eqArr>
            <ns3:e>
              <ns3:acc>
                <ns3:accPr>
                  <ns3:chr ns3:val="̇"/>
                </ns3:accPr>
                <ns3:e>
                  <ns3:r>
                    <ns3:t>x</ns3:t>
                  </ns3:r>
                </ns3:e>
              </ns3:acc>
              <ns3:r>
                <ns3:rPr>
                  <ns3:sty ns3:val="p"/>
                </ns3:rPr>
                <ns3:t>(</ns3:t>
              </ns3:r>
              <ns3:r>
                <ns3:t>t</ns3:t>
              </ns3:r>
              <ns3:r>
                <ns3:rPr>
                  <ns3:sty ns3:val="p"/>
                </ns3:rPr>
                <ns3:t>)</ns3:t>
              </ns3:r>
              <ns3:r>
                <ns3:t>&amp;</ns3:t>
              </ns3:r>
              <ns3:r>
                <ns3:rPr>
                  <ns3:sty ns3:val="p"/>
                </ns3:rPr>
                <ns3:t>=</ns3:t>
              </ns3:r>
              <ns3:sSub>
                <ns3:e>
                  <ns3:r>
                    <ns3:t>f</ns3:t>
                  </ns3:r>
                </ns3:e>
                <ns3:sub>
                  <ns3:r>
                    <ns3:t>θ</ns3:t>
                  </ns3:r>
                </ns3:sub>
              </ns3:sSub>
              <ns3:r>
                <ns3:rPr>
                  <ns3:sty ns3:val="p"/>
                </ns3:rPr>
                <ns3:t>(</ns3:t>
              </ns3:r>
              <ns3:r>
                <ns3:t>x</ns3:t>
              </ns3:r>
              <ns3:r>
                <ns3:rPr>
                  <ns3:sty ns3:val="p"/>
                </ns3:rPr>
                <ns3:t>,</ns3:t>
              </ns3:r>
              <ns3:r>
                <ns3:t>t</ns3:t>
              </ns3:r>
              <ns3:r>
                <ns3:rPr>
                  <ns3:sty ns3:val="p"/>
                </ns3:rPr>
                <ns3:t>)</ns3:t>
              </ns3:r>
              <ns3:r>
                <ns3:rPr>
                  <ns3:sty ns3:val="p"/>
                </ns3:rPr>
                <ns3:t>+</ns3:t>
              </ns3:r>
              <ns3:sSub>
                <ns3:e>
                  <ns3:r>
                    <ns3:t>B</ns3:t>
                  </ns3:r>
                </ns3:e>
                <ns3:sub>
                  <ns3:r>
                    <ns3:t>θ</ns3:t>
                  </ns3:r>
                </ns3:sub>
              </ns3:sSub>
              <ns3:r>
                <ns3:rPr>
                  <ns3:sty ns3:val="p"/>
                </ns3:rPr>
                <ns3:t>(</ns3:t>
              </ns3:r>
              <ns3:r>
                <ns3:t>x</ns3:t>
              </ns3:r>
              <ns3:r>
                <ns3:rPr>
                  <ns3:sty ns3:val="p"/>
                </ns3:rPr>
                <ns3:t>,</ns3:t>
              </ns3:r>
              <ns3:r>
                <ns3:t>t</ns3:t>
              </ns3:r>
              <ns3:r>
                <ns3:rPr>
                  <ns3:sty ns3:val="p"/>
                </ns3:rPr>
                <ns3:t>)</ns3:t>
              </ns3:r>
              <ns3:r>
                <ns3:t> </ns3:t>
              </ns3:r>
              <ns3:r>
                <ns3:t>u</ns3:t>
              </ns3:r>
              <ns3:r>
                <ns3:rPr>
                  <ns3:sty ns3:val="p"/>
                </ns3:rPr>
                <ns3:t>(</ns3:t>
              </ns3:r>
              <ns3:r>
                <ns3:t>t</ns3:t>
              </ns3:r>
              <ns3:r>
                <ns3:rPr>
                  <ns3:sty ns3:val="p"/>
                </ns3:rPr>
                <ns3:t>)</ns3:t>
              </ns3:r>
              <ns3:r>
                <ns3:rPr>
                  <ns3:sty ns3:val="p"/>
                </ns3:rPr>
                <ns3:t>+</ns3:t>
              </ns3:r>
              <ns3:r>
                <ns3:t>ξ</ns3:t>
              </ns3:r>
              <ns3:r>
                <ns3:rPr>
                  <ns3:sty ns3:val="p"/>
                </ns3:rPr>
                <ns3:t>(</ns3:t>
              </ns3:r>
              <ns3:r>
                <ns3:t>t</ns3:t>
              </ns3:r>
              <ns3:r>
                <ns3:rPr>
                  <ns3:sty ns3:val="p"/>
                </ns3:rPr>
                <ns3:t>)</ns3:t>
              </ns3:r>
              <ns3:r>
                <ns3:rPr>
                  <ns3:sty ns3:val="p"/>
                </ns3:rPr>
                <ns3:t>,</ns3:t>
              </ns3:r>
            </ns3:e>
            <ns3:e>
              <ns3:sSub>
                <ns3:e>
                  <ns3:acc>
                    <ns3:accPr>
                      <ns3:chr ns3:val="̇"/>
                    </ns3:accPr>
                    <ns3:e>
                      <ns3:r>
                        <ns3:t>x</ns3:t>
                      </ns3:r>
                    </ns3:e>
                  </ns3:acc>
                </ns3:e>
                <ns3:sub>
                  <ns3:r>
                    <ns3:t>0</ns3:t>
                  </ns3:r>
                </ns3:sub>
              </ns3:sSub>
              <ns3:r>
                <ns3:rPr>
                  <ns3:sty ns3:val="p"/>
                </ns3:rPr>
                <ns3:t>(</ns3:t>
              </ns3:r>
              <ns3:r>
                <ns3:t>t</ns3:t>
              </ns3:r>
              <ns3:r>
                <ns3:rPr>
                  <ns3:sty ns3:val="p"/>
                </ns3:rPr>
                <ns3:t>)</ns3:t>
              </ns3:r>
              <ns3:r>
                <ns3:t>&amp;</ns3:t>
              </ns3:r>
              <ns3:r>
                <ns3:rPr>
                  <ns3:sty ns3:val="p"/>
                </ns3:rPr>
                <ns3:t>=</ns3:t>
              </ns3:r>
              <ns3:sSub>
                <ns3:e>
                  <ns3:r>
                    <ns3:t>f</ns3:t>
                  </ns3:r>
                </ns3:e>
                <ns3:sub>
                  <ns3:r>
                    <ns3:t>θ</ns3:t>
                  </ns3:r>
                </ns3:sub>
              </ns3:sSub>
              <ns3:r>
                <ns3:rPr>
                  <ns3:sty ns3:val="p"/>
                </ns3:rPr>
                <ns3:t>(</ns3:t>
              </ns3:r>
              <ns3:r>
                <ns3:t>x</ns3:t>
              </ns3:r>
              <ns3:r>
                <ns3:rPr>
                  <ns3:sty ns3:val="p"/>
                </ns3:rPr>
                <ns3:t>,</ns3:t>
              </ns3:r>
              <ns3:r>
                <ns3:t>t</ns3:t>
              </ns3:r>
              <ns3:r>
                <ns3:rPr>
                  <ns3:sty ns3:val="p"/>
                </ns3:rPr>
                <ns3:t>)</ns3:t>
              </ns3:r>
              <ns3:r>
                <ns3:rPr>
                  <ns3:sty ns3:val="p"/>
                </ns3:rPr>
                <ns3:t>+</ns3:t>
              </ns3:r>
              <ns3:r>
                <ns3:t>ξ</ns3:t>
              </ns3:r>
              <ns3:r>
                <ns3:rPr>
                  <ns3:sty ns3:val="p"/>
                </ns3:rPr>
                <ns3:t>(</ns3:t>
              </ns3:r>
              <ns3:r>
                <ns3:t>t</ns3:t>
              </ns3:r>
              <ns3:r>
                <ns3:rPr>
                  <ns3:sty ns3:val="p"/>
                </ns3:rPr>
                <ns3:t>)</ns3:t>
              </ns3:r>
              <ns3:r>
                <ns3:t> </ns3:t>
              </ns3:r>
              <ns3:r>
                <ns3:rPr>
                  <ns3:nor/>
                  <ns3:sty ns3:val="p"/>
                </ns3:rPr>
                <ns3:t>when </ns3:t>
              </ns3:r>
              <ns3:r>
                <ns3:t>u</ns3:t>
              </ns3:r>
              <ns3:r>
                <ns3:rPr>
                  <ns3:sty ns3:val="p"/>
                </ns3:rPr>
                <ns3:t>(</ns3:t>
              </ns3:r>
              <ns3:r>
                <ns3:t>t</ns3:t>
              </ns3:r>
              <ns3:r>
                <ns3:rPr>
                  <ns3:sty ns3:val="p"/>
                </ns3:rPr>
                <ns3:t>)</ns3:t>
              </ns3:r>
              <ns3:r>
                <ns3:rPr>
                  <ns3:sty ns3:val="p"/>
                </ns3:rPr>
                <ns3:t>=</ns3:t>
              </ns3:r>
              <ns3:r>
                <ns3:t>0</ns3:t>
              </ns3:r>
            </ns3:e>
          </ns3:eqArr>
          <ns3:r>
            <ns3:t>  </ns3:t>
          </ns3:r>
          <ns3:r>
            <ns3:rPr>
              <ns3:nor/>
              <ns3:sty ns3:val="p"/>
            </ns3:rPr>
            <ns3:t>(3b)</ns3:t>
          </ns3:r>
        </ns3:oMath>
      </ns3:oMathPara>
    </w:p>
    <w:p>
      <w:pPr>
        <w:pStyle w:val="FirstParagraph"/>
      </w:pPr>
      <w:r>
        <w:t xml:space="preserve">where</w:t>
      </w:r>
      <w:r>
        <w:t xml:space="preserve"> </w:t>
      </w:r>
      <ns3:oMath>
        <ns3:r>
          <ns3:t>u</ns3:t>
        </ns3:r>
        <ns3:r>
          <ns3:rPr>
            <ns3:sty ns3:val="p"/>
          </ns3:rPr>
          <ns3:t>(</ns3:t>
        </ns3:r>
        <ns3:r>
          <ns3:t>t</ns3:t>
        </ns3:r>
        <ns3:r>
          <ns3:rPr>
            <ns3:sty ns3:val="p"/>
          </ns3:rPr>
          <ns3:t>)</ns3:t>
        </ns3:r>
      </ns3:oMath>
      <w:r>
        <w:t xml:space="preserve"> </w:t>
      </w:r>
      <w:r>
        <w:t xml:space="preserve">is control input and</w:t>
      </w:r>
      <w:r>
        <w:t xml:space="preserve"> </w:t>
      </w:r>
      <ns3:oMath>
        <ns3:sSub>
          <ns3:e>
            <ns3:acc>
              <ns3:accPr>
                <ns3:chr ns3:val="̇"/>
              </ns3:accPr>
              <ns3:e>
                <ns3:r>
                  <ns3:t>x</ns3:t>
                </ns3:r>
              </ns3:e>
            </ns3:acc>
          </ns3:e>
          <ns3:sub>
            <ns3:r>
              <ns3:t>0</ns3:t>
            </ns3:r>
          </ns3:sub>
        </ns3:sSub>
      </ns3:oMath>
      <w:r>
        <w:t xml:space="preserve"> </w:t>
      </w:r>
      <w:r>
        <w:t xml:space="preserve">is the no-control (baseline drift) trajectory. Ontological friction is instantiated as integrated control effort:</w:t>
      </w:r>
    </w:p>
    <w:p>
      <w:pPr>
        <w:pStyle w:val="BodyText"/>
      </w:pPr>
      <ns3:oMathPara>
        <ns3:oMathParaPr>
          <ns3:jc ns3:val="center"/>
        </ns3:oMathParaPr>
        <ns3:oMath>
          <ns3:sSubSup>
            <ns3:e>
              <ns3:r>
                <ns3:rPr>
                  <ns3:sty ns3:val="p"/>
                </ns3:rPr>
                <ns3:t>Ψ</ns3:t>
              </ns3:r>
            </ns3:e>
            <ns3:sub>
              <ns3:r>
                <ns3:t>f</ns3:t>
              </ns3:r>
            </ns3:sub>
            <ns3:sup>
              <ns3:r>
                <ns3:rPr>
                  <ns3:nor/>
                  <ns3:sty ns3:val="p"/>
                </ns3:rPr>
                <ns3:t>ctrl</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r>
                <ns3:t>u</ns3:t>
              </ns3:r>
            </ns3:e>
          </ns3:nary>
          <ns3:r>
            <ns3:rPr>
              <ns3:sty ns3:val="p"/>
            </ns3:rPr>
            <ns3:t>(</ns3:t>
          </ns3:r>
          <ns3:r>
            <ns3:t>t</ns3:t>
          </ns3:r>
          <ns3:sSup>
            <ns3:e>
              <ns3:r>
                <ns3:rPr>
                  <ns3:sty ns3:val="p"/>
                </ns3:rPr>
                <ns3:t>)</ns3:t>
              </ns3:r>
            </ns3:e>
            <ns3:sup>
              <ns3:r>
                <ns3:rPr>
                  <ns3:sty ns3:val="p"/>
                </ns3:rPr>
                <ns3:t>⊤</ns3:t>
              </ns3:r>
            </ns3:sup>
          </ns3:sSup>
          <ns3:r>
            <ns3:t>R</ns3:t>
          </ns3:r>
          <ns3:r>
            <ns3:t> </ns3:t>
          </ns3:r>
          <ns3:r>
            <ns3:t>u</ns3:t>
          </ns3:r>
          <ns3:r>
            <ns3:rPr>
              <ns3:sty ns3:val="p"/>
            </ns3:rPr>
            <ns3:t>(</ns3:t>
          </ns3:r>
          <ns3:r>
            <ns3:t>t</ns3:t>
          </ns3:r>
          <ns3:r>
            <ns3:rPr>
              <ns3:sty ns3:val="p"/>
            </ns3:rPr>
            <ns3:t>)</ns3:t>
          </ns3:r>
          <ns3:r>
            <ns3:t> </ns3:t>
          </ns3:r>
          <ns3:r>
            <ns3:t>d</ns3:t>
          </ns3:r>
          <ns3:r>
            <ns3:t>t</ns3:t>
          </ns3:r>
          <ns3:r>
            <ns3:rPr>
              <ns3:sty ns3:val="p"/>
            </ns3:rPr>
            <ns3:t>,</ns3:t>
          </ns3:r>
          <ns3:r>
            <ns3:t> </ns3:t>
          </ns3:r>
          <ns3:r>
            <ns3:t>R</ns3:t>
          </ns3:r>
          <ns3:r>
            <ns3:rPr>
              <ns3:sty ns3:val="p"/>
            </ns3:rPr>
            <ns3:t>≻</ns3:t>
          </ns3:r>
          <ns3:r>
            <ns3:t>0</ns3:t>
          </ns3:r>
        </ns3:oMath>
      </ns3:oMathPara>
    </w:p>
    <w:p>
      <w:pPr>
        <w:pStyle w:val="FirstParagraph"/>
      </w:pPr>
      <w:r>
        <w:t xml:space="preserve">with an information-geometric comparator model:</w:t>
      </w:r>
    </w:p>
    <w:p>
      <w:pPr>
        <w:pStyle w:val="BodyText"/>
      </w:pPr>
      <ns3:oMathPara>
        <ns3:oMathParaPr>
          <ns3:jc ns3:val="center"/>
        </ns3:oMathParaPr>
        <ns3:oMath>
          <ns3:sSubSup>
            <ns3:e>
              <ns3:r>
                <ns3:rPr>
                  <ns3:sty ns3:val="p"/>
                </ns3:rPr>
                <ns3:t>Ψ</ns3:t>
              </ns3:r>
            </ns3:e>
            <ns3:sub>
              <ns3:r>
                <ns3:t>f</ns3:t>
              </ns3:r>
            </ns3:sub>
            <ns3:sup>
              <ns3:r>
                <ns3:rPr>
                  <ns3:nor/>
                  <ns3:sty ns3:val="p"/>
                </ns3:rPr>
                <ns3:t>info</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sSub>
                <ns3:e>
                  <ns3:r>
                    <ns3:t>D</ns3:t>
                  </ns3:r>
                </ns3:e>
                <ns3:sub>
                  <ns3:r>
                    <ns3:t>K</ns3:t>
                  </ns3:r>
                  <ns3:r>
                    <ns3:t>L</ns3:t>
                  </ns3:r>
                </ns3:sub>
              </ns3:sSub>
            </ns3:e>
          </ns3:nary>
          <ns3:r>
            <ns3:t>​</ns3:t>
          </ns3:r>
          <ns3:d>
            <ns3:dPr>
              <ns3:begChr ns3:val="("/>
              <ns3:sepChr ns3:val=""/>
              <ns3:endChr ns3:val=")"/>
              <ns3:grow/>
            </ns3:dPr>
            <ns3:e>
              <ns3:sSub>
                <ns3:e>
                  <ns3:r>
                    <ns3:t>q</ns3:t>
                  </ns3:r>
                </ns3:e>
                <ns3:sub>
                  <ns3:r>
                    <ns3:t>t</ns3:t>
                  </ns3:r>
                </ns3:sub>
              </ns3:sSub>
              <ns3:r>
                <ns3:rPr>
                  <ns3:sty ns3:val="p"/>
                </ns3:rPr>
                <ns3:t>∥</ns3:t>
              </ns3:r>
              <ns3:sSubSup>
                <ns3:e>
                  <ns3:r>
                    <ns3:t>q</ns3:t>
                  </ns3:r>
                </ns3:e>
                <ns3:sub>
                  <ns3:r>
                    <ns3:t>t</ns3:t>
                  </ns3:r>
                </ns3:sub>
                <ns3:sup>
                  <ns3:r>
                    <ns3:t>0</ns3:t>
                  </ns3:r>
                </ns3:sup>
              </ns3:sSubSup>
            </ns3:e>
          </ns3:d>
          <ns3:r>
            <ns3:t>d</ns3:t>
          </ns3:r>
          <ns3:r>
            <ns3:t>t</ns3:t>
          </ns3:r>
          <ns3:r>
            <ns3:t>  </ns3:t>
          </ns3:r>
          <ns3:r>
            <ns3:rPr>
              <ns3:nor/>
              <ns3:sty ns3:val="p"/>
            </ns3:rPr>
            <ns3:t>(3d)</ns3:t>
          </ns3:r>
        </ns3:oMath>
      </ns3:oMathPara>
    </w:p>
    <w:p>
      <w:pPr>
        <w:pStyle w:val="FirstParagraph"/>
      </w:pPr>
      <w:r>
        <w:t xml:space="preserve">where</w:t>
      </w:r>
      <w:r>
        <w:t xml:space="preserve"> </w:t>
      </w:r>
      <ns3:oMath>
        <ns3:sSubSup>
          <ns3:e>
            <ns3:r>
              <ns3:t>q</ns3:t>
            </ns3:r>
          </ns3:e>
          <ns3:sub>
            <ns3:r>
              <ns3:t>t</ns3:t>
            </ns3:r>
          </ns3:sub>
          <ns3:sup>
            <ns3:r>
              <ns3:t>0</ns3:t>
            </ns3:r>
          </ns3:sup>
        </ns3:sSubSup>
      </ns3:oMath>
      <w:r>
        <w:t xml:space="preserve"> </w:t>
      </w:r>
      <w:r>
        <w:t xml:space="preserve">denotes the baseline-policy distribution. Under regularity conditions (e.g., locally smooth trajectories and second-order KL expansion in exponential-family neighborhoods), the KL form admits a Fisher-metric approximation:</w:t>
      </w:r>
    </w:p>
    <w:p>
      <w:pPr>
        <w:pStyle w:val="BodyText"/>
      </w:pPr>
      <ns3:oMathPara>
        <ns3:oMathParaPr>
          <ns3:jc ns3:val="center"/>
        </ns3:oMathParaPr>
        <ns3:oMath>
          <ns3:sSubSup>
            <ns3:e>
              <ns3:r>
                <ns3:rPr>
                  <ns3:sty ns3:val="p"/>
                </ns3:rPr>
                <ns3:t>Ψ</ns3:t>
              </ns3:r>
            </ns3:e>
            <ns3:sub>
              <ns3:r>
                <ns3:t>f</ns3:t>
              </ns3:r>
            </ns3:sub>
            <ns3:sup>
              <ns3:r>
                <ns3:rPr>
                  <ns3:nor/>
                  <ns3:sty ns3:val="p"/>
                </ns3:rPr>
                <ns3:t>KL-2nd</ns3:t>
              </ns3:r>
            </ns3:sup>
          </ns3:sSubSup>
          <ns3:r>
            <ns3:rPr>
              <ns3:sty ns3:val="p"/>
            </ns3:rPr>
            <ns3:t>(</ns3:t>
          </ns3:r>
          <ns3:r>
            <ns3:t>T</ns3:t>
          </ns3:r>
          <ns3:r>
            <ns3:rPr>
              <ns3:sty ns3:val="p"/>
            </ns3:rPr>
            <ns3:t>)</ns3:t>
          </ns3:r>
          <ns3:r>
            <ns3:rPr>
              <ns3:sty ns3:val="p"/>
            </ns3:rPr>
            <ns3:t>≈</ns3:t>
          </ns3:r>
          <ns3:nary>
            <ns3:naryPr>
              <ns3:chr ns3:val="∫"/>
              <ns3:limLoc ns3:val="subSup"/>
              <ns3:subHide ns3:val="off"/>
              <ns3:supHide ns3:val="off"/>
            </ns3:naryPr>
            <ns3:sub>
              <ns3:r>
                <ns3:t>0</ns3:t>
              </ns3:r>
            </ns3:sub>
            <ns3:sup>
              <ns3:r>
                <ns3:t>T</ns3:t>
              </ns3:r>
            </ns3:sup>
            <ns3:e>
              <ns3:acc>
                <ns3:accPr>
                  <ns3:chr ns3:val="̇"/>
                </ns3:accPr>
                <ns3:e>
                  <ns3:r>
                    <ns3:t>ϑ</ns3:t>
                  </ns3:r>
                </ns3:e>
              </ns3:acc>
            </ns3:e>
          </ns3:nary>
          <ns3:r>
            <ns3:rPr>
              <ns3:sty ns3:val="p"/>
            </ns3:rPr>
            <ns3:t>(</ns3:t>
          </ns3:r>
          <ns3:r>
            <ns3:t>t</ns3:t>
          </ns3:r>
          <ns3:sSup>
            <ns3:e>
              <ns3:r>
                <ns3:rPr>
                  <ns3:sty ns3:val="p"/>
                </ns3:rPr>
                <ns3:t>)</ns3:t>
              </ns3:r>
            </ns3:e>
            <ns3:sup>
              <ns3:r>
                <ns3:rPr>
                  <ns3:sty ns3:val="p"/>
                </ns3:rPr>
                <ns3:t>⊤</ns3:t>
              </ns3:r>
            </ns3:sup>
          </ns3:sSup>
          <ns3:sSub>
            <ns3:e>
              <ns3:r>
                <ns3:t>g</ns3:t>
              </ns3:r>
            </ns3:e>
            <ns3:sub>
              <ns3:r>
                <ns3:t>F</ns3:t>
              </ns3:r>
            </ns3:sub>
          </ns3:sSub>
          <ns3:r>
            <ns3:rPr>
              <ns3:sty ns3:val="p"/>
            </ns3:rPr>
            <ns3:t>(</ns3:t>
          </ns3:r>
          <ns3:r>
            <ns3:t>ϑ</ns3:t>
          </ns3:r>
          <ns3:r>
            <ns3:rPr>
              <ns3:sty ns3:val="p"/>
            </ns3:rPr>
            <ns3:t>)</ns3:t>
          </ns3:r>
          <ns3:acc>
            <ns3:accPr>
              <ns3:chr ns3:val="̇"/>
            </ns3:accPr>
            <ns3:e>
              <ns3:r>
                <ns3:t>ϑ</ns3:t>
              </ns3:r>
            </ns3:e>
          </ns3:acc>
          <ns3:r>
            <ns3:rPr>
              <ns3:sty ns3:val="p"/>
            </ns3:rPr>
            <ns3:t>(</ns3:t>
          </ns3:r>
          <ns3:r>
            <ns3:t>t</ns3:t>
          </ns3:r>
          <ns3:r>
            <ns3:rPr>
              <ns3:sty ns3:val="p"/>
            </ns3:rPr>
            <ns3:t>)</ns3:t>
          </ns3:r>
          <ns3:r>
            <ns3:t> </ns3:t>
          </ns3:r>
          <ns3:r>
            <ns3:t>d</ns3:t>
          </ns3:r>
          <ns3:r>
            <ns3:t>t</ns3:t>
          </ns3:r>
          <ns3:r>
            <ns3:t>  </ns3:t>
          </ns3:r>
          <ns3:r>
            <ns3:rPr>
              <ns3:nor/>
              <ns3:sty ns3:val="p"/>
            </ns3:rPr>
            <ns3:t>(3d’)</ns3:t>
          </ns3:r>
        </ns3:oMath>
      </ns3:oMathPara>
    </w:p>
    <w:p>
      <w:pPr>
        <w:pStyle w:val="FirstParagraph"/>
      </w:pPr>
      <w:r>
        <w:t xml:space="preserve">(Amari, 2016). In this paper,</w:t>
      </w:r>
      <w:r>
        <w:t xml:space="preserve"> </w:t>
      </w:r>
      <ns3:oMath>
        <ns3:sSub>
          <ns3:e>
            <ns3:r>
              <ns3:rPr>
                <ns3:sty ns3:val="p"/>
              </ns3:rPr>
              <ns3:t>Ψ</ns3:t>
            </ns3:r>
          </ns3:e>
          <ns3:sub>
            <ns3:r>
              <ns3:t>f</ns3:t>
            </ns3:r>
          </ns3:sub>
        </ns3:sSub>
      </ns3:oMath>
      <w:r>
        <w:t xml:space="preserve"> </w:t>
      </w:r>
      <w:r>
        <w:t xml:space="preserve">denotes the Level-0 latent construct, while Equations (3c), (3d), and (3d’) are treated as competing/related mechanism models to be compared empirically rather than universally equivalent identities.</w:t>
      </w:r>
    </w:p>
    <w:p>
      <w:pPr>
        <w:pStyle w:val="BodyText"/>
      </w:pPr>
      <w:r>
        <w:rPr>
          <w:b/>
          <w:bCs/>
        </w:rPr>
        <w:t xml:space="preserve">Mechanism-model comparison plan.</w:t>
      </w:r>
      <w:r>
        <w:t xml:space="preserve"> </w:t>
      </w:r>
      <w:r>
        <w:t xml:space="preserve">Equation (3c) is treated as a control-energy model best matched to trial-level demand manipulations (e.g., switch/inhibition load), whereas Equations (3d)/(3d’) are treated as distributional-deviation models for belief-drift or habit-override regimes. In empirical programs, matched hierarchical models will be fit to the same outcomes and compared with out-of-sample criteria (LOO/WAIC, with Bayes factors where model regularity allows). Pre-registered interpretation is: if the 3c-family wins, friction is operationally summarized as control effort; if 3d/3d’ wins, friction is better summarized as information-geometric deviation; if no mechanism family dominates, Equation (3a) remains the estimand and mechanism equations are treated as context-specific modules.</w:t>
      </w:r>
    </w:p>
    <w:p>
      <w:pPr>
        <w:pStyle w:val="BodyText"/>
      </w:pPr>
      <w:r>
        <w:rPr>
          <w:b/>
          <w:bCs/>
        </w:rPr>
        <w:t xml:space="preserve">Definition 2 (Distress Hazard Family).</w:t>
      </w:r>
      <w:r>
        <w:t xml:space="preserve"> </w:t>
      </w:r>
      <w:r>
        <w:t xml:space="preserve">Subjective distress is modeled as a hazard-family function of</w:t>
      </w:r>
      <w:r>
        <w:t xml:space="preserve"> </w:t>
      </w:r>
      <w:r>
        <w:rPr>
          <w:i/>
          <w:iCs/>
        </w:rPr>
        <w:t xml:space="preserve">smoothed</w:t>
      </w:r>
      <w:r>
        <w:t xml:space="preserve"> </w:t>
      </w:r>
      <w:r>
        <w:t xml:space="preserve">friction change and appraisal state:</w:t>
      </w:r>
    </w:p>
    <w:p>
      <w:pPr>
        <w:pStyle w:val="BodyText"/>
      </w:pPr>
      <ns3:oMathPara>
        <ns3:oMathParaPr>
          <ns3:jc ns3:val="center"/>
        </ns3:oMathParaPr>
        <ns3:oMath>
          <ns3:sSub>
            <ns3:e>
              <ns3:r>
                <ns3:t>h</ns3:t>
              </ns3:r>
            </ns3:e>
            <ns3:sub>
              <ns3:r>
                <ns3:rPr>
                  <ns3:nor/>
                  <ns3:sty ns3:val="p"/>
                </ns3:rPr>
                <ns3:t>distress</ns3:t>
              </ns3:r>
            </ns3:sub>
          </ns3:sSub>
          <ns3:r>
            <ns3:rPr>
              <ns3:sty ns3:val="p"/>
            </ns3:rPr>
            <ns3:t>(</ns3:t>
          </ns3:r>
          <ns3:r>
            <ns3:t>t</ns3:t>
          </ns3:r>
          <ns3:r>
            <ns3:rPr>
              <ns3:sty ns3:val="p"/>
            </ns3:rPr>
            <ns3:t>)</ns3:t>
          </ns3:r>
          <ns3:r>
            <ns3:rPr>
              <ns3:sty ns3:val="p"/>
            </ns3:rPr>
            <ns3:t>=</ns3:t>
          </ns3:r>
          <ns3:r>
            <ns3:t>σ</ns3:t>
          </ns3:r>
          <ns3:r>
            <ns3:t>​</ns3:t>
          </ns3:r>
          <ns3:d>
            <ns3:dPr>
              <ns3:begChr ns3:val="("/>
              <ns3:sepChr ns3:val=""/>
              <ns3:endChr ns3:val=")"/>
              <ns3:grow/>
            </ns3:dPr>
            <ns3:e>
              <ns3:r>
                <ns3:t>a</ns3:t>
              </ns3:r>
              <ns3:r>
                <ns3:t> </ns3:t>
              </ns3:r>
              <ns3:f>
                <ns3:fPr>
                  <ns3:type ns3:val="bar"/>
                </ns3:fPr>
                <ns3:num>
                  <ns3:r>
                    <ns3:t>d</ns3:t>
                  </ns3:r>
                  <ns3:sSubSup>
                    <ns3:e>
                      <ns3:acc>
                        <ns3:accPr>
                          <ns3:chr ns3:val="̃"/>
                        </ns3:accPr>
                        <ns3:e>
                          <ns3:r>
                            <ns3:rPr>
                              <ns3:sty ns3:val="p"/>
                            </ns3:rPr>
                            <ns3:t>Ψ</ns3:t>
                          </ns3:r>
                        </ns3:e>
                      </ns3:acc>
                    </ns3:e>
                    <ns3:sub>
                      <ns3:r>
                        <ns3:t>f</ns3:t>
                      </ns3:r>
                    </ns3:sub>
                    <ns3:sup>
                      <ns3:r>
                        <ns3:rPr>
                          <ns3:sty ns3:val="p"/>
                        </ns3:rPr>
                        <ns3:t>(</ns3:t>
                      </ns3:r>
                      <ns3:r>
                        <ns3:t>τ</ns3:t>
                      </ns3:r>
                      <ns3:r>
                        <ns3:rPr>
                          <ns3:sty ns3:val="p"/>
                        </ns3:rPr>
                        <ns3:t>)</ns3:t>
                      </ns3:r>
                    </ns3:sup>
                  </ns3:sSubSup>
                  <ns3:r>
                    <ns3:rPr>
                      <ns3:sty ns3:val="p"/>
                    </ns3:rPr>
                    <ns3:t>(</ns3:t>
                  </ns3:r>
                  <ns3:r>
                    <ns3:t>t</ns3:t>
                  </ns3:r>
                  <ns3:r>
                    <ns3:rPr>
                      <ns3:sty ns3:val="p"/>
                    </ns3:rPr>
                    <ns3:t>)</ns3:t>
                  </ns3:r>
                </ns3:num>
                <ns3:den>
                  <ns3:r>
                    <ns3:t>d</ns3:t>
                  </ns3:r>
                  <ns3:r>
                    <ns3:t>t</ns3:t>
                  </ns3:r>
                </ns3:den>
              </ns3:f>
              <ns3:r>
                <ns3:rPr>
                  <ns3:sty ns3:val="p"/>
                </ns3:rPr>
                <ns3:t>+</ns3:t>
              </ns3:r>
              <ns3:r>
                <ns3:t>c</ns3:t>
              </ns3:r>
              <ns3:r>
                <ns3:t> </ns3:t>
              </ns3:r>
              <ns3:r>
                <ns3:rPr>
                  <ns3:nor/>
                  <ns3:sty ns3:val="p"/>
                </ns3:rPr>
                <ns3:t>Appraisal</ns3:t>
              </ns3:r>
              <ns3:r>
                <ns3:rPr>
                  <ns3:sty ns3:val="p"/>
                </ns3:rPr>
                <ns3:t>(</ns3:t>
              </ns3:r>
              <ns3:r>
                <ns3:t>t</ns3:t>
              </ns3:r>
              <ns3:r>
                <ns3:rPr>
                  <ns3:sty ns3:val="p"/>
                </ns3:rPr>
                <ns3:t>)</ns3:t>
              </ns3:r>
              <ns3:r>
                <ns3:rPr>
                  <ns3:sty ns3:val="p"/>
                </ns3:rPr>
                <ns3:t>−</ns3:t>
              </ns3:r>
              <ns3:r>
                <ns3:t>b</ns3:t>
              </ns3:r>
            </ns3:e>
          </ns3:d>
        </ns3:oMath>
      </ns3:oMathPara>
    </w:p>
    <w:p>
      <w:pPr>
        <w:pStyle w:val="FirstParagraph"/>
      </w:pPr>
      <w:r>
        <w:t xml:space="preserve">where</w:t>
      </w:r>
      <w:r>
        <w:t xml:space="preserve"> </w:t>
      </w:r>
      <ns3:oMath>
        <ns3:sSubSup>
          <ns3:e>
            <ns3:acc>
              <ns3:accPr>
                <ns3:chr ns3:val="̃"/>
              </ns3:accPr>
              <ns3:e>
                <ns3:r>
                  <ns3:rPr>
                    <ns3:sty ns3:val="p"/>
                  </ns3:rPr>
                  <ns3:t>Ψ</ns3:t>
                </ns3:r>
              </ns3:e>
            </ns3:acc>
          </ns3:e>
          <ns3:sub>
            <ns3:r>
              <ns3:t>f</ns3:t>
            </ns3:r>
          </ns3:sub>
          <ns3:sup>
            <ns3:r>
              <ns3:rPr>
                <ns3:sty ns3:val="p"/>
              </ns3:rPr>
              <ns3:t>(</ns3:t>
            </ns3:r>
            <ns3:r>
              <ns3:t>τ</ns3:t>
            </ns3:r>
            <ns3:r>
              <ns3:rPr>
                <ns3:sty ns3:val="p"/>
              </ns3:rPr>
              <ns3:t>)</ns3:t>
            </ns3:r>
          </ns3:sup>
        </ns3:sSubSup>
      </ns3:oMath>
      <w:r>
        <w:t xml:space="preserve"> </w:t>
      </w:r>
      <w:r>
        <w:t xml:space="preserve">is a smoothed friction trajectory (window</w:t>
      </w:r>
      <w:r>
        <w:t xml:space="preserve"> </w:t>
      </w:r>
      <ns3:oMath>
        <ns3:r>
          <ns3:t>τ</ns3:t>
        </ns3:r>
      </ns3:oMath>
      <w:r>
        <w:t xml:space="preserve">),</w:t>
      </w:r>
      <w:r>
        <w:t xml:space="preserve"> </w:t>
      </w:r>
      <ns3:oMath>
        <ns3:r>
          <ns3:t>σ</ns3:t>
        </ns3:r>
        <ns3:r>
          <ns3:rPr>
            <ns3:sty ns3:val="p"/>
          </ns3:rPr>
          <ns3:t>(</ns3:t>
        </ns3:r>
        <ns3:r>
          <ns3:rPr>
            <ns3:sty ns3:val="p"/>
          </ns3:rPr>
          <ns3:t>⋅</ns3:t>
        </ns3:r>
        <ns3:r>
          <ns3:rPr>
            <ns3:sty ns3:val="p"/>
          </ns3:rPr>
          <ns3:t>)</ns3:t>
        </ns3:r>
      </ns3:oMath>
      <w:r>
        <w:t xml:space="preserve"> </w:t>
      </w:r>
      <w:r>
        <w:t xml:space="preserve">is a monotone link (e.g., logistic), and Appraisal captures contextual evaluation (Gaab et al., 2005). In the local linear limit with approximately constant appraisal, Equation (4) reduces to the familiar approximation</w:t>
      </w:r>
      <w:r>
        <w:t xml:space="preserve"> </w:t>
      </w:r>
      <ns3:oMath>
        <ns3:r>
          <ns3:rPr>
            <ns3:nor/>
            <ns3:sty ns3:val="p"/>
          </ns3:rPr>
          <ns3:t>distress</ns3:t>
        </ns3:r>
        <ns3:r>
          <ns3:rPr>
            <ns3:sty ns3:val="p"/>
          </ns3:rPr>
          <ns3:t>∝</ns3:t>
        </ns3:r>
        <ns3:r>
          <ns3:t>d</ns3:t>
        </ns3:r>
        <ns3:sSub>
          <ns3:e>
            <ns3:r>
              <ns3:rPr>
                <ns3:sty ns3:val="p"/>
              </ns3:rPr>
              <ns3:t>Ψ</ns3:t>
            </ns3:r>
          </ns3:e>
          <ns3:sub>
            <ns3:r>
              <ns3:t>f</ns3:t>
            </ns3:r>
          </ns3:sub>
        </ns3:sSub>
        <ns3:r>
          <ns3:rPr>
            <ns3:sty ns3:val="p"/>
          </ns3:rPr>
          <ns3:t>/</ns3:t>
        </ns3:r>
        <ns3:r>
          <ns3:t>d</ns3:t>
        </ns3:r>
        <ns3:r>
          <ns3:t>t</ns3:t>
        </ns3:r>
      </ns3:oMath>
      <w:r>
        <w:t xml:space="preserve">. This preserves the core intuition that rapidly increasing friction is destabilizing while avoiding the stronger and less defensible claim that all pain is solely driven by raw derivatives.</w:t>
      </w:r>
    </w:p>
    <w:p>
      <w:pPr>
        <w:pStyle w:val="BodyText"/>
      </w:pPr>
      <w:r>
        <w:t xml:space="preserve">For pre-registration,</w:t>
      </w:r>
      <w:r>
        <w:t xml:space="preserve"> </w:t>
      </w:r>
      <ns3:oMath>
        <ns3:r>
          <ns3:t>τ</ns3:t>
        </ns3:r>
      </ns3:oMath>
      <w:r>
        <w:t xml:space="preserve"> </w:t>
      </w:r>
      <w:r>
        <w:t xml:space="preserve">is treated as a sensitivity parameter (default grid: 10 s, 30 s, 60 s, or trial-window analogs), and Appraisal is measured block-wise on a 0-100 challenge/threat scale immediately after each block to reduce retrospective distortion.</w:t>
      </w:r>
    </w:p>
    <w:p>
      <w:pPr>
        <w:pStyle w:val="BodyText"/>
      </w:pPr>
      <w:r>
        <w:rPr>
          <w:b/>
          <w:bCs/>
        </w:rPr>
        <w:t xml:space="preserve">Definition 3 (Selection Budget Inequality; Thermodynamic-Inspired).</w:t>
      </w:r>
      <w:r>
        <w:t xml:space="preserve"> </w:t>
      </w:r>
      <w:r>
        <w:t xml:space="preserve">The rate of change of macroscopic order</w:t>
      </w:r>
      <w:r>
        <w:t xml:space="preserve"> </w:t>
      </w:r>
      <ns3:oMath>
        <ns3:r>
          <ns3:t>q</ns3:t>
        </ns3:r>
        <ns3:r>
          <ns3:rPr>
            <ns3:sty ns3:val="p"/>
          </ns3:rPr>
          <ns3:t>(</ns3:t>
        </ns3:r>
        <ns3:sSub>
          <ns3:e>
            <ns3:r>
              <ns3:t>L</ns3:t>
            </ns3:r>
          </ns3:e>
          <ns3:sub>
            <ns3:r>
              <ns3:t>1</ns3:t>
            </ns3:r>
          </ns3:sub>
        </ns3:sSub>
        <ns3:r>
          <ns3:rPr>
            <ns3:sty ns3:val="p"/>
          </ns3:rPr>
          <ns3:t>)</ns3:t>
        </ns3:r>
      </ns3:oMath>
      <w:r>
        <w:t xml:space="preserve"> </w:t>
      </w:r>
      <w:r>
        <w:t xml:space="preserve">— operationalizable as mutual information density, topological invariants, or compression ratio — is bounded by:</w:t>
      </w:r>
    </w:p>
    <w:p>
      <w:pPr>
        <w:pStyle w:val="BodyText"/>
      </w:pPr>
      <ns3:oMathPara>
        <ns3:oMathParaPr>
          <ns3:jc ns3:val="center"/>
        </ns3:oMathParaPr>
        <ns3:oMath>
          <ns3:f>
            <ns3:fPr>
              <ns3:type ns3:val="bar"/>
            </ns3:fPr>
            <ns3:num>
              <ns3:r>
                <ns3:t>d</ns3:t>
              </ns3:r>
              <ns3:r>
                <ns3:t>q</ns3:t>
              </ns3:r>
            </ns3:num>
            <ns3:den>
              <ns3:r>
                <ns3:t>d</ns3:t>
              </ns3:r>
              <ns3:r>
                <ns3:t>t</ns3:t>
              </ns3:r>
            </ns3:den>
          </ns3:f>
          <ns3:r>
            <ns3:rPr>
              <ns3:sty ns3:val="p"/>
            </ns3:rPr>
            <ns3:t>≤</ns3:t>
          </ns3:r>
          <ns3:r>
            <ns3:t>α</ns3:t>
          </ns3:r>
          <ns3:r>
            <ns3:rPr>
              <ns3:sty ns3:val="p"/>
            </ns3:rPr>
            <ns3:t>⋅</ns3:t>
          </ns3:r>
          <ns3:sSub>
            <ns3:e>
              <ns3:r>
                <ns3:t>P</ns3:t>
              </ns3:r>
            </ns3:e>
            <ns3:sub>
              <ns3:r>
                <ns3:rPr>
                  <ns3:nor/>
                  <ns3:sty ns3:val="p"/>
                </ns3:rPr>
                <ns3:t>sel</ns3:t>
              </ns3:r>
            </ns3:sub>
          </ns3:sSub>
          <ns3:r>
            <ns3:rPr>
              <ns3:sty ns3:val="p"/>
            </ns3:rPr>
            <ns3:t>(</ns3:t>
          </ns3:r>
          <ns3:r>
            <ns3:t>t</ns3:t>
          </ns3:r>
          <ns3:r>
            <ns3:rPr>
              <ns3:sty ns3:val="p"/>
            </ns3:rPr>
            <ns3:t>)</ns3:t>
          </ns3:r>
          <ns3:r>
            <ns3:rPr>
              <ns3:sty ns3:val="p"/>
            </ns3:rPr>
            <ns3:t>−</ns3:t>
          </ns3:r>
          <ns3:r>
            <ns3:t>β</ns3:t>
          </ns3:r>
          <ns3:r>
            <ns3:rPr>
              <ns3:sty ns3:val="p"/>
            </ns3:rPr>
            <ns3:t>⋅</ns3:t>
          </ns3:r>
          <ns3:sSub>
            <ns3:e>
              <ns3:r>
                <ns3:rPr>
                  <ns3:sty ns3:val="p"/>
                </ns3:rPr>
                <ns3:t>Ψ</ns3:t>
              </ns3:r>
            </ns3:e>
            <ns3:sub>
              <ns3:r>
                <ns3:t>f</ns3:t>
              </ns3:r>
            </ns3:sub>
          </ns3:sSub>
          <ns3:r>
            <ns3:rPr>
              <ns3:sty ns3:val="p"/>
            </ns3:rPr>
            <ns3:t>(</ns3:t>
          </ns3:r>
          <ns3:sSub>
            <ns3:e>
              <ns3:r>
                <ns3:t>L</ns3:t>
              </ns3:r>
            </ns3:e>
            <ns3:sub>
              <ns3:r>
                <ns3:t>1</ns3:t>
              </ns3:r>
            </ns3:sub>
          </ns3:sSub>
          <ns3:r>
            <ns3:rPr>
              <ns3:sty ns3:val="p"/>
            </ns3:rPr>
            <ns3:t>;</ns3:t>
          </ns3:r>
          <ns3:r>
            <ns3:t>θ</ns3:t>
          </ns3:r>
          <ns3:r>
            <ns3:rPr>
              <ns3:sty ns3:val="p"/>
            </ns3:rPr>
            <ns3:t>)</ns3:t>
          </ns3:r>
          <ns3:r>
            <ns3:rPr>
              <ns3:sty ns3:val="p"/>
            </ns3:rPr>
            <ns3:t>−</ns3:t>
          </ns3:r>
          <ns3:r>
            <ns3:t>γ</ns3:t>
          </ns3:r>
          <ns3:r>
            <ns3:rPr>
              <ns3:sty ns3:val="p"/>
            </ns3:rPr>
            <ns3:t>⋅</ns3:t>
          </ns3:r>
          <ns3:sSub>
            <ns3:e>
              <ns3:r>
                <ns3:t>S</ns3:t>
              </ns3:r>
            </ns3:e>
            <ns3:sub>
              <ns3:r>
                <ns3:rPr>
                  <ns3:nor/>
                  <ns3:sty ns3:val="p"/>
                </ns3:rPr>
                <ns3:t>noise</ns3:t>
              </ns3:r>
            </ns3:sub>
          </ns3:sSub>
        </ns3:oMath>
      </ns3:oMathPara>
    </w:p>
    <w:p>
      <w:pPr>
        <w:pStyle w:val="FirstParagraph"/>
      </w:pPr>
      <w:r>
        <w:t xml:space="preserve">where</w:t>
      </w:r>
      <w:r>
        <w:t xml:space="preserve"> </w:t>
      </w:r>
      <ns3:oMath>
        <ns3:sSub>
          <ns3:e>
            <ns3:r>
              <ns3:t>P</ns3:t>
            </ns3:r>
          </ns3:e>
          <ns3:sub>
            <ns3:r>
              <ns3:rPr>
                <ns3:nor/>
                <ns3:sty ns3:val="p"/>
              </ns3:rPr>
              <ns3:t>sel</ns3:t>
            </ns3:r>
          </ns3:sub>
        </ns3:sSub>
        <ns3:r>
          <ns3:rPr>
            <ns3:sty ns3:val="p"/>
          </ns3:rPr>
          <ns3:t>(</ns3:t>
        </ns3:r>
        <ns3:r>
          <ns3:t>t</ns3:t>
        </ns3:r>
        <ns3:r>
          <ns3:rPr>
            <ns3:sty ns3:val="p"/>
          </ns3:rPr>
          <ns3:t>)</ns3:t>
        </ns3:r>
      </ns3:oMath>
      <w:r>
        <w:t xml:space="preserve"> </w:t>
      </w:r>
      <w:r>
        <w:t xml:space="preserve">is the</w:t>
      </w:r>
      <w:r>
        <w:t xml:space="preserve"> </w:t>
      </w:r>
      <w:r>
        <w:rPr>
          <w:i/>
          <w:iCs/>
        </w:rPr>
        <w:t xml:space="preserve">selection power</w:t>
      </w:r>
      <w:r>
        <w:t xml:space="preserve"> </w:t>
      </w:r>
      <w:r>
        <w:t xml:space="preserve">(the net energy available for maintaining and extending the current</w:t>
      </w:r>
      <w:r>
        <w:t xml:space="preserve"> </w:t>
      </w:r>
      <ns3:oMath>
        <ns3:sSub>
          <ns3:e>
            <ns3:r>
              <ns3:t>L</ns3:t>
            </ns3:r>
          </ns3:e>
          <ns3:sub>
            <ns3:r>
              <ns3:t>1</ns3:t>
            </ns3:r>
          </ns3:sub>
        </ns3:sSub>
      </ns3:oMath>
      <w:r>
        <w:t xml:space="preserve">),</w:t>
      </w:r>
      <w:r>
        <w:t xml:space="preserve"> </w:t>
      </w:r>
      <ns3:oMath>
        <ns3:sSub>
          <ns3:e>
            <ns3:r>
              <ns3:rPr>
                <ns3:sty ns3:val="p"/>
              </ns3:rPr>
              <ns3:t>Ψ</ns3:t>
            </ns3:r>
          </ns3:e>
          <ns3:sub>
            <ns3:r>
              <ns3:t>f</ns3:t>
            </ns3:r>
          </ns3:sub>
        </ns3:sSub>
      </ns3:oMath>
      <w:r>
        <w:t xml:space="preserve"> </w:t>
      </w:r>
      <w:r>
        <w:t xml:space="preserve">is the friction cost,</w:t>
      </w:r>
      <w:r>
        <w:t xml:space="preserve"> </w:t>
      </w:r>
      <ns3:oMath>
        <ns3:sSub>
          <ns3:e>
            <ns3:r>
              <ns3:t>S</ns3:t>
            </ns3:r>
          </ns3:e>
          <ns3:sub>
            <ns3:r>
              <ns3:rPr>
                <ns3:nor/>
                <ns3:sty ns3:val="p"/>
              </ns3:rPr>
              <ns3:t>noise</ns3:t>
            </ns3:r>
          </ns3:sub>
        </ns3:sSub>
      </ns3:oMath>
      <w:r>
        <w:t xml:space="preserve"> </w:t>
      </w:r>
      <w:r>
        <w:t xml:space="preserve">is the environmental noise entropy, and</w:t>
      </w:r>
      <w:r>
        <w:t xml:space="preserve"> </w:t>
      </w:r>
      <ns3:oMath>
        <ns3:r>
          <ns3:t>α</ns3:t>
        </ns3:r>
        <ns3:r>
          <ns3:rPr>
            <ns3:sty ns3:val="p"/>
          </ns3:rPr>
          <ns3:t>,</ns3:t>
        </ns3:r>
        <ns3:r>
          <ns3:t>β</ns3:t>
        </ns3:r>
        <ns3:r>
          <ns3:rPr>
            <ns3:sty ns3:val="p"/>
          </ns3:rPr>
          <ns3:t>,</ns3:t>
        </ns3:r>
        <ns3:r>
          <ns3:t>γ</ns3:t>
        </ns3:r>
        <ns3:r>
          <ns3:rPr>
            <ns3:sty ns3:val="p"/>
          </ns3:rPr>
          <ns3:t>&gt;</ns3:t>
        </ns3:r>
        <ns3:r>
          <ns3:t>0</ns3:t>
        </ns3:r>
      </ns3:oMath>
      <w:r>
        <w:t xml:space="preserve"> </w:t>
      </w:r>
      <w:r>
        <w:t xml:space="preserve">are coupling constants.</w:t>
      </w:r>
    </w:p>
    <w:p>
      <w:pPr>
        <w:pStyle w:val="BodyText"/>
      </w:pPr>
      <w:r>
        <w:t xml:space="preserve">This inequality is the master budget constraint of SRT. It states that an agent’s capacity to maintain or increase order in its manifest domain is bounded by available selection power minus friction and noise costs. In early-phase experiments,</w:t>
      </w:r>
      <w:r>
        <w:t xml:space="preserve"> </w:t>
      </w:r>
      <ns3:oMath>
        <ns3:r>
          <ns3:t>q</ns3:t>
        </ns3:r>
        <ns3:r>
          <ns3:rPr>
            <ns3:sty ns3:val="p"/>
          </ns3:rPr>
          <ns3:t>(</ns3:t>
        </ns3:r>
        <ns3:sSub>
          <ns3:e>
            <ns3:r>
              <ns3:t>L</ns3:t>
            </ns3:r>
          </ns3:e>
          <ns3:sub>
            <ns3:r>
              <ns3:t>1</ns3:t>
            </ns3:r>
          </ns3:sub>
        </ns3:sSub>
        <ns3:r>
          <ns3:rPr>
            <ns3:sty ns3:val="p"/>
          </ns3:rPr>
          <ns3:t>)</ns3:t>
        </ns3:r>
      </ns3:oMath>
      <w:r>
        <w:t xml:space="preserve"> </w:t>
      </w:r>
      <w:r>
        <w:t xml:space="preserve">is treated as a boundary variable rather than a mandatory primary endpoint; optional operationalizations include compression ratio, entropy-rate surrogates, or task-state stability metrics. When</w:t>
      </w:r>
      <w:r>
        <w:t xml:space="preserve"> </w:t>
      </w:r>
      <ns3:oMath>
        <ns3:sSub>
          <ns3:e>
            <ns3:r>
              <ns3:t>P</ns3:t>
            </ns3:r>
          </ns3:e>
          <ns3:sub>
            <ns3:r>
              <ns3:rPr>
                <ns3:nor/>
                <ns3:sty ns3:val="p"/>
              </ns3:rPr>
              <ns3:t>sel</ns3:t>
            </ns3:r>
          </ns3:sub>
        </ns3:sSub>
        <ns3:r>
          <ns3:rPr>
            <ns3:sty ns3:val="p"/>
          </ns3:rPr>
          <ns3:t>&lt;</ns3:t>
        </ns3:r>
        <ns3:r>
          <ns3:t>β</ns3:t>
        </ns3:r>
        <ns3:r>
          <ns3:rPr>
            <ns3:sty ns3:val="p"/>
          </ns3:rPr>
          <ns3:t>⋅</ns3:t>
        </ns3:r>
        <ns3:sSub>
          <ns3:e>
            <ns3:r>
              <ns3:rPr>
                <ns3:sty ns3:val="p"/>
              </ns3:rPr>
              <ns3:t>Ψ</ns3:t>
            </ns3:r>
          </ns3:e>
          <ns3:sub>
            <ns3:r>
              <ns3:t>f</ns3:t>
            </ns3:r>
          </ns3:sub>
        </ns3:sSub>
        <ns3:r>
          <ns3:rPr>
            <ns3:sty ns3:val="p"/>
          </ns3:rPr>
          <ns3:t>+</ns3:t>
        </ns3:r>
        <ns3:r>
          <ns3:t>γ</ns3:t>
        </ns3:r>
        <ns3:r>
          <ns3:rPr>
            <ns3:sty ns3:val="p"/>
          </ns3:rPr>
          <ns3:t>⋅</ns3:t>
        </ns3:r>
        <ns3:sSub>
          <ns3:e>
            <ns3:r>
              <ns3:t>S</ns3:t>
            </ns3:r>
          </ns3:e>
          <ns3:sub>
            <ns3:r>
              <ns3:rPr>
                <ns3:nor/>
                <ns3:sty ns3:val="p"/>
              </ns3:rPr>
              <ns3:t>noise</ns3:t>
            </ns3:r>
          </ns3:sub>
        </ns3:sSub>
      </ns3:oMath>
      <w:r>
        <w:t xml:space="preserve">, the system enters</w:t>
      </w:r>
      <w:r>
        <w:t xml:space="preserve"> </w:t>
      </w:r>
      <w:r>
        <w:rPr>
          <w:i/>
          <w:iCs/>
        </w:rPr>
        <w:t xml:space="preserve">order collapse</w:t>
      </w:r>
      <w:r>
        <w:t xml:space="preserve"> </w:t>
      </w:r>
      <w:r>
        <w:t xml:space="preserve">(</w:t>
      </w:r>
      <ns3:oMath>
        <ns3:r>
          <ns3:t>d</ns3:t>
        </ns3:r>
        <ns3:r>
          <ns3:t>q</ns3:t>
        </ns3:r>
        <ns3:r>
          <ns3:rPr>
            <ns3:sty ns3:val="p"/>
          </ns3:rPr>
          <ns3:t>/</ns3:t>
        </ns3:r>
        <ns3:r>
          <ns3:t>d</ns3:t>
        </ns3:r>
        <ns3:r>
          <ns3:t>t</ns3:t>
        </ns3:r>
        <ns3:r>
          <ns3:rPr>
            <ns3:sty ns3:val="p"/>
          </ns3:rPr>
          <ns3:t>&lt;</ns3:t>
        </ns3:r>
        <ns3:r>
          <ns3:t>0</ns3:t>
        </ns3:r>
      </ns3:oMath>
      <w:r>
        <w:t xml:space="preserve">), manifesting as cognitive disorganization or executive failure.</w:t>
      </w:r>
    </w:p>
    <w:p>
      <w:pPr>
        <w:pStyle w:val="BodyText"/>
      </w:pPr>
      <w:r>
        <w:rPr>
          <w:b/>
          <w:bCs/>
        </w:rPr>
        <w:t xml:space="preserve">Definition 4 (Parameter Dynamics).</w:t>
      </w:r>
      <w:r>
        <w:t xml:space="preserve"> </w:t>
      </w:r>
      <w:r>
        <w:t xml:space="preserve">The embodiment parameters</w:t>
      </w:r>
      <w:r>
        <w:t xml:space="preserve"> </w:t>
      </w:r>
      <ns3:oMath>
        <ns3:r>
          <ns3:t>θ</ns3:t>
        </ns3:r>
      </ns3:oMath>
      <w:r>
        <w:t xml:space="preserve"> </w:t>
      </w:r>
      <w:r>
        <w:t xml:space="preserve">evolve according to:</w:t>
      </w:r>
    </w:p>
    <w:p>
      <w:pPr>
        <w:pStyle w:val="BodyText"/>
      </w:pPr>
      <ns3:oMathPara>
        <ns3:oMathParaPr>
          <ns3:jc ns3:val="center"/>
        </ns3:oMathParaPr>
        <ns3:oMath>
          <ns3:f>
            <ns3:fPr>
              <ns3:type ns3:val="bar"/>
            </ns3:fPr>
            <ns3:num>
              <ns3:r>
                <ns3:t>d</ns3:t>
              </ns3:r>
              <ns3:r>
                <ns3:t>θ</ns3:t>
              </ns3:r>
            </ns3:num>
            <ns3:den>
              <ns3:r>
                <ns3:t>d</ns3:t>
              </ns3:r>
              <ns3:r>
                <ns3:t>t</ns3:t>
              </ns3:r>
            </ns3:den>
          </ns3:f>
          <ns3:r>
            <ns3:rPr>
              <ns3:sty ns3:val="p"/>
            </ns3:rPr>
            <ns3:t>=</ns3:t>
          </ns3:r>
          <ns3:limLow>
            <ns3:e>
              <ns3:limLow>
                <ns3:e>
                  <ns3:r>
                    <ns3:t>η</ns3:t>
                  </ns3:r>
                  <ns3:r>
                    <ns3:rPr>
                      <ns3:sty ns3:val="p"/>
                    </ns3:rPr>
                    <ns3:t>⋅</ns3:t>
                  </ns3:r>
                  <ns3:r>
                    <ns3:t>A</ns3:t>
                  </ns3:r>
                  <ns3:r>
                    <ns3:rPr>
                      <ns3:sty ns3:val="p"/>
                    </ns3:rPr>
                    <ns3:t>[</ns3:t>
                  </ns3:r>
                  <ns3:r>
                    <ns3:t>σ</ns3:t>
                  </ns3:r>
                  <ns3:r>
                    <ns3:rPr>
                      <ns3:sty ns3:val="p"/>
                    </ns3:rPr>
                    <ns3:t>,</ns3:t>
                  </ns3:r>
                  <ns3:r>
                    <ns3:rPr>
                      <ns3:nor/>
                      <ns3:sty ns3:val="p"/>
                    </ns3:rPr>
                    <ns3:t>Target</ns3:t>
                  </ns3:r>
                  <ns3:r>
                    <ns3:rPr>
                      <ns3:sty ns3:val="p"/>
                    </ns3:rPr>
                    <ns3:t>]</ns3:t>
                  </ns3:r>
                </ns3:e>
                <ns3:lim>
                  <ns3:r>
                    <ns3:rPr>
                      <ns3:sty ns3:val="p"/>
                    </ns3:rPr>
                    <ns3:t>⏟</ns3:t>
                  </ns3:r>
                </ns3:lim>
              </ns3:limLow>
            </ns3:e>
            <ns3:lim>
              <ns3:r>
                <ns3:rPr>
                  <ns3:nor/>
                  <ns3:sty ns3:val="p"/>
                </ns3:rPr>
                <ns3:t>Learning</ns3:t>
              </ns3:r>
            </ns3:lim>
          </ns3:limLow>
          <ns3:r>
            <ns3:rPr>
              <ns3:sty ns3:val="p"/>
            </ns3:rPr>
            <ns3:t>−</ns3:t>
          </ns3:r>
          <ns3:limLow>
            <ns3:e>
              <ns3:limLow>
                <ns3:e>
                  <ns3:r>
                    <ns3:t>δ</ns3:t>
                  </ns3:r>
                  <ns3:r>
                    <ns3:rPr>
                      <ns3:sty ns3:val="p"/>
                    </ns3:rPr>
                    <ns3:t>⋅</ns3:t>
                  </ns3:r>
                  <ns3:f>
                    <ns3:fPr>
                      <ns3:type ns3:val="bar"/>
                    </ns3:fPr>
                    <ns3:num>
                      <ns3:r>
                        <ns3:rPr>
                          <ns3:sty ns3:val="p"/>
                        </ns3:rPr>
                        <ns3:t>∂</ns3:t>
                      </ns3:r>
                      <ns3:r>
                        <ns3:rPr>
                          <ns3:sty ns3:val="p"/>
                        </ns3:rPr>
                        <ns3:t>Φ</ns3:t>
                      </ns3:r>
                      <ns3:r>
                        <ns3:rPr>
                          <ns3:sty ns3:val="p"/>
                        </ns3:rPr>
                        <ns3:t>(</ns3:t>
                      </ns3:r>
                      <ns3:r>
                        <ns3:t>θ</ns3:t>
                      </ns3:r>
                      <ns3:r>
                        <ns3:rPr>
                          <ns3:sty ns3:val="p"/>
                        </ns3:rPr>
                        <ns3:t>)</ns3:t>
                      </ns3:r>
                    </ns3:num>
                    <ns3:den>
                      <ns3:r>
                        <ns3:rPr>
                          <ns3:sty ns3:val="p"/>
                        </ns3:rPr>
                        <ns3:t>∂</ns3:t>
                      </ns3:r>
                      <ns3:r>
                        <ns3:t>θ</ns3:t>
                      </ns3:r>
                    </ns3:den>
                  </ns3:f>
                </ns3:e>
                <ns3:lim>
                  <ns3:r>
                    <ns3:rPr>
                      <ns3:sty ns3:val="p"/>
                    </ns3:rPr>
                    <ns3:t>⏟</ns3:t>
                  </ns3:r>
                </ns3:lim>
              </ns3:limLow>
            </ns3:e>
            <ns3:lim>
              <ns3:r>
                <ns3:rPr>
                  <ns3:nor/>
                  <ns3:sty ns3:val="p"/>
                </ns3:rPr>
                <ns3:t>Friction descent</ns3:t>
              </ns3:r>
            </ns3:lim>
          </ns3:limLow>
          <ns3:r>
            <ns3:rPr>
              <ns3:sty ns3:val="p"/>
            </ns3:rPr>
            <ns3:t>−</ns3:t>
          </ns3:r>
          <ns3:limLow>
            <ns3:e>
              <ns3:limLow>
                <ns3:e>
                  <ns3:r>
                    <ns3:t>κ</ns3:t>
                  </ns3:r>
                  <ns3:r>
                    <ns3:rPr>
                      <ns3:sty ns3:val="p"/>
                    </ns3:rPr>
                    <ns3:t>⋅</ns3:t>
                  </ns3:r>
                  <ns3:r>
                    <ns3:rPr>
                      <ns3:sty ns3:val="p"/>
                    </ns3:rPr>
                    <ns3:t>(</ns3:t>
                  </ns3:r>
                  <ns3:sSub>
                    <ns3:e>
                      <ns3:r>
                        <ns3:rPr>
                          <ns3:nor/>
                          <ns3:sty ns3:val="p"/>
                        </ns3:rPr>
                        <ns3:t>Input</ns3:t>
                      </ns3:r>
                    </ns3:e>
                    <ns3:sub>
                      <ns3:sSub>
                        <ns3:e>
                          <ns3:r>
                            <ns3:t>L</ns3:t>
                          </ns3:r>
                        </ns3:e>
                        <ns3:sub>
                          <ns3:r>
                            <ns3:t>1</ns3:t>
                          </ns3:r>
                        </ns3:sub>
                      </ns3:sSub>
                    </ns3:sub>
                  </ns3:sSub>
                  <ns3:r>
                    <ns3:rPr>
                      <ns3:sty ns3:val="p"/>
                    </ns3:rPr>
                    <ns3:t>−</ns3:t>
                  </ns3:r>
                  <ns3:r>
                    <ns3:rPr>
                      <ns3:nor/>
                      <ns3:sty ns3:val="p"/>
                    </ns3:rPr>
                    <ns3:t>Baseline</ns3:t>
                  </ns3:r>
                  <ns3:r>
                    <ns3:rPr>
                      <ns3:sty ns3:val="p"/>
                    </ns3:rPr>
                    <ns3:t>)</ns3:t>
                  </ns3:r>
                </ns3:e>
                <ns3:lim>
                  <ns3:r>
                    <ns3:rPr>
                      <ns3:sty ns3:val="p"/>
                    </ns3:rPr>
                    <ns3:t>⏟</ns3:t>
                  </ns3:r>
                </ns3:lim>
              </ns3:limLow>
            </ns3:e>
            <ns3:lim>
              <ns3:r>
                <ns3:rPr>
                  <ns3:nor/>
                  <ns3:sty ns3:val="p"/>
                </ns3:rPr>
                <ns3:t>Homeostatic recoil</ns3:t>
              </ns3:r>
            </ns3:lim>
          </ns3:limLow>
        </ns3:oMath>
      </ns3:oMathPara>
    </w:p>
    <w:p>
      <w:pPr>
        <w:pStyle w:val="FirstParagraph"/>
      </w:pPr>
      <w:r>
        <w:t xml:space="preserve">where</w:t>
      </w:r>
      <w:r>
        <w:t xml:space="preserve"> </w:t>
      </w:r>
      <ns3:oMath>
        <ns3:r>
          <ns3:t>η</ns3:t>
        </ns3:r>
        <ns3:r>
          <ns3:rPr>
            <ns3:sty ns3:val="p"/>
          </ns3:rPr>
          <ns3:t>,</ns3:t>
        </ns3:r>
        <ns3:r>
          <ns3:t>δ</ns3:t>
        </ns3:r>
        <ns3:r>
          <ns3:rPr>
            <ns3:sty ns3:val="p"/>
          </ns3:rPr>
          <ns3:t>,</ns3:t>
        </ns3:r>
        <ns3:r>
          <ns3:t>κ</ns3:t>
        </ns3:r>
        <ns3:r>
          <ns3:rPr>
            <ns3:sty ns3:val="p"/>
          </ns3:rPr>
          <ns3:t>&gt;</ns3:t>
        </ns3:r>
        <ns3:r>
          <ns3:t>0</ns3:t>
        </ns3:r>
      </ns3:oMath>
      <w:r>
        <w:t xml:space="preserve">,</w:t>
      </w:r>
      <w:r>
        <w:t xml:space="preserve"> </w:t>
      </w:r>
      <ns3:oMath>
        <ns3:r>
          <ns3:t>A</ns3:t>
        </ns3:r>
        <ns3:r>
          <ns3:rPr>
            <ns3:sty ns3:val="p"/>
          </ns3:rPr>
          <ns3:t>[</ns3:t>
        </ns3:r>
        <ns3:r>
          <ns3:t>σ</ns3:t>
        </ns3:r>
        <ns3:r>
          <ns3:rPr>
            <ns3:sty ns3:val="p"/>
          </ns3:rPr>
          <ns3:t>,</ns3:t>
        </ns3:r>
        <ns3:r>
          <ns3:rPr>
            <ns3:nor/>
            <ns3:sty ns3:val="p"/>
          </ns3:rPr>
          <ns3:t>Target</ns3:t>
        </ns3:r>
        <ns3:r>
          <ns3:rPr>
            <ns3:sty ns3:val="p"/>
          </ns3:rPr>
          <ns3:t>]</ns3:t>
        </ns3:r>
      </ns3:oMath>
      <w:r>
        <w:t xml:space="preserve"> </w:t>
      </w:r>
      <w:r>
        <w:t xml:space="preserve">is the learning signal (error-driven adaptation),</w:t>
      </w:r>
      <w:r>
        <w:t xml:space="preserve"> </w:t>
      </w:r>
      <ns3:oMath>
        <ns3:r>
          <ns3:rPr>
            <ns3:sty ns3:val="p"/>
          </ns3:rPr>
          <ns3:t>∂</ns3:t>
        </ns3:r>
        <ns3:r>
          <ns3:rPr>
            <ns3:sty ns3:val="p"/>
          </ns3:rPr>
          <ns3:t>Φ</ns3:t>
        </ns3:r>
        <ns3:r>
          <ns3:rPr>
            <ns3:sty ns3:val="p"/>
          </ns3:rPr>
          <ns3:t>(</ns3:t>
        </ns3:r>
        <ns3:r>
          <ns3:t>θ</ns3:t>
        </ns3:r>
        <ns3:r>
          <ns3:rPr>
            <ns3:sty ns3:val="p"/>
          </ns3:rPr>
          <ns3:t>)</ns3:t>
        </ns3:r>
        <ns3:r>
          <ns3:rPr>
            <ns3:sty ns3:val="p"/>
          </ns3:rPr>
          <ns3:t>/</ns3:t>
        </ns3:r>
        <ns3:r>
          <ns3:rPr>
            <ns3:sty ns3:val="p"/>
          </ns3:rPr>
          <ns3:t>∂</ns3:t>
        </ns3:r>
        <ns3:r>
          <ns3:t>θ</ns3:t>
        </ns3:r>
      </ns3:oMath>
      <w:r>
        <w:t xml:space="preserve"> </w:t>
      </w:r>
      <w:r>
        <w:t xml:space="preserve">is the gradient of the friction potential (driving parameters toward lower-friction configurations), and the third term captures homeostatic pressure to return to baseline. This equation governs the slow dynamics of habit formation, belief revision, and therapeutic change.</w:t>
      </w:r>
    </w:p>
    <w:bookmarkEnd w:id="16"/>
    <w:bookmarkStart w:id="17" w:name="Xb681a00820f589f5ebdfd0e606c1c6264096cde"/>
    <w:p>
      <w:pPr>
        <w:pStyle w:val="Heading3"/>
      </w:pPr>
      <w:r>
        <w:t xml:space="preserve">2.3 The Knowing–Doing Gap as Bandwidth Saturation</w:t>
      </w:r>
    </w:p>
    <w:p>
      <w:pPr>
        <w:pStyle w:val="FirstParagraph"/>
      </w:pPr>
      <w:r>
        <w:t xml:space="preserve">The knowing–doing gap emerges naturally from the selection-budget inequality (Equation 5). Consider an agent whose</w:t>
      </w:r>
      <w:r>
        <w:t xml:space="preserve"> </w:t>
      </w:r>
      <ns3:oMath>
        <ns3:sSub>
          <ns3:e>
            <ns3:r>
              <ns3:t>L</ns3:t>
            </ns3:r>
          </ns3:e>
          <ns3:sub>
            <ns3:r>
              <ns3:t>2</ns3:t>
            </ns3:r>
          </ns3:sub>
        </ns3:sSub>
      </ns3:oMath>
      <w:r>
        <w:t xml:space="preserve"> </w:t>
      </w:r>
      <w:r>
        <w:t xml:space="preserve">model (crystallized knowledge) correctly specifies the appropriate action — the patient who knows she should exercise, the surgeon who knows the next step of the procedure. The knowledge is encoded in</w:t>
      </w:r>
      <w:r>
        <w:t xml:space="preserve"> </w:t>
      </w:r>
      <ns3:oMath>
        <ns3:sSub>
          <ns3:e>
            <ns3:r>
              <ns3:t>L</ns3:t>
            </ns3:r>
          </ns3:e>
          <ns3:sub>
            <ns3:r>
              <ns3:t>2</ns3:t>
            </ns3:r>
          </ns3:sub>
        </ns3:sSub>
      </ns3:oMath>
      <w:r>
        <w:t xml:space="preserve"> </w:t>
      </w:r>
      <w:r>
        <w:t xml:space="preserve">and is intact.</w:t>
      </w:r>
    </w:p>
    <w:p>
      <w:pPr>
        <w:pStyle w:val="BodyText"/>
      </w:pPr>
      <w:r>
        <w:t xml:space="preserve">Throughout this manuscript,</w:t>
      </w:r>
      <w:r>
        <w:t xml:space="preserve"> </w:t>
      </w:r>
      <w:r>
        <w:rPr>
          <w:b/>
          <w:bCs/>
        </w:rPr>
        <w:t xml:space="preserve">selection power</w:t>
      </w:r>
      <w:r>
        <w:t xml:space="preserve"> </w:t>
      </w:r>
      <w:r>
        <w:t xml:space="preserve">(</w:t>
      </w:r>
      <ns3:oMath>
        <ns3:sSub>
          <ns3:e>
            <ns3:r>
              <ns3:t>P</ns3:t>
            </ns3:r>
          </ns3:e>
          <ns3:sub>
            <ns3:r>
              <ns3:rPr>
                <ns3:nor/>
                <ns3:sty ns3:val="p"/>
              </ns3:rPr>
              <ns3:t>sel</ns3:t>
            </ns3:r>
          </ns3:sub>
        </ns3:sSub>
      </ns3:oMath>
      <w:r>
        <w:t xml:space="preserve">) is the primary term;</w:t>
      </w:r>
      <w:r>
        <w:t xml:space="preserve"> </w:t>
      </w:r>
      <w:r>
        <w:t xml:space="preserve">“bandwidth”</w:t>
      </w:r>
      <w:r>
        <w:t xml:space="preserve"> </w:t>
      </w:r>
      <w:r>
        <w:t xml:space="preserve">is used only as an informal synonym for residual selection capacity.</w:t>
      </w:r>
    </w:p>
    <w:p>
      <w:pPr>
        <w:pStyle w:val="BodyText"/>
      </w:pPr>
      <w:r>
        <w:t xml:space="preserve">However,</w:t>
      </w:r>
      <w:r>
        <w:t xml:space="preserve"> </w:t>
      </w:r>
      <w:r>
        <w:rPr>
          <w:i/>
          <w:iCs/>
        </w:rPr>
        <w:t xml:space="preserve">implementing</w:t>
      </w:r>
      <w:r>
        <w:t xml:space="preserve"> </w:t>
      </w:r>
      <w:r>
        <w:t xml:space="preserve">this knowledge requires converting it into an</w:t>
      </w:r>
      <w:r>
        <w:t xml:space="preserve"> </w:t>
      </w:r>
      <ns3:oMath>
        <ns3:sSub>
          <ns3:e>
            <ns3:r>
              <ns3:t>L</ns3:t>
            </ns3:r>
          </ns3:e>
          <ns3:sub>
            <ns3:r>
              <ns3:t>1</ns3:t>
            </ns3:r>
          </ns3:sub>
        </ns3:sSub>
      </ns3:oMath>
      <w:r>
        <w:t xml:space="preserve"> </w:t>
      </w:r>
      <w:r>
        <w:t xml:space="preserve">action state via the selection operator</w:t>
      </w:r>
      <w:r>
        <w:t xml:space="preserve"> </w:t>
      </w:r>
      <ns3:oMath>
        <ns3:sSub>
          <ns3:e>
            <ns3:acc>
              <ns3:accPr>
                <ns3:chr ns3:val="̂"/>
              </ns3:accPr>
              <ns3:e>
                <ns3:r>
                  <ns3:t>G</ns3:t>
                </ns3:r>
              </ns3:e>
            </ns3:acc>
          </ns3:e>
          <ns3:sub>
            <ns3:r>
              <ns3:t>θ</ns3:t>
            </ns3:r>
          </ns3:sub>
        </ns3:sSub>
      </ns3:oMath>
      <w:r>
        <w:t xml:space="preserve">. This conversion consumes selection power</w:t>
      </w:r>
      <w:r>
        <w:t xml:space="preserve"> </w:t>
      </w:r>
      <ns3:oMath>
        <ns3:sSub>
          <ns3:e>
            <ns3:r>
              <ns3:t>P</ns3:t>
            </ns3:r>
          </ns3:e>
          <ns3:sub>
            <ns3:r>
              <ns3:rPr>
                <ns3:nor/>
                <ns3:sty ns3:val="p"/>
              </ns3:rPr>
              <ns3:t>sel</ns3:t>
            </ns3:r>
          </ns3:sub>
        </ns3:sSub>
      </ns3:oMath>
      <w:r>
        <w:t xml:space="preserve"> </w:t>
      </w:r>
      <w:r>
        <w:t xml:space="preserve">and incurs ontological friction</w:t>
      </w:r>
      <w:r>
        <w:t xml:space="preserve"> </w:t>
      </w:r>
      <ns3:oMath>
        <ns3:sSub>
          <ns3:e>
            <ns3:r>
              <ns3:rPr>
                <ns3:sty ns3:val="p"/>
              </ns3:rPr>
              <ns3:t>Ψ</ns3:t>
            </ns3:r>
          </ns3:e>
          <ns3:sub>
            <ns3:r>
              <ns3:t>f</ns3:t>
            </ns3:r>
          </ns3:sub>
        </ns3:sSub>
      </ns3:oMath>
      <w:r>
        <w:t xml:space="preserve">. When the agent is already operating under high baseline friction — due to chronic stress, neurodegeneration, or pathological parameter configurations — the remaining selection power may be insufficient to execute the known action.</w:t>
      </w:r>
    </w:p>
    <w:p>
      <w:pPr>
        <w:pStyle w:val="BodyText"/>
      </w:pPr>
      <w:r>
        <w:t xml:space="preserve">Formally, the agent enters the knowing–doing gap when:</w:t>
      </w:r>
    </w:p>
    <w:p>
      <w:pPr>
        <w:pStyle w:val="BodyText"/>
      </w:pPr>
      <ns3:oMathPara>
        <ns3:oMathParaPr>
          <ns3:jc ns3:val="center"/>
        </ns3:oMathParaPr>
        <ns3:oMath>
          <ns3:sSubSup>
            <ns3:e>
              <ns3:r>
                <ns3:t>P</ns3:t>
              </ns3:r>
            </ns3:e>
            <ns3:sub>
              <ns3:r>
                <ns3:rPr>
                  <ns3:nor/>
                  <ns3:sty ns3:val="p"/>
                </ns3:rPr>
                <ns3:t>sel</ns3:t>
              </ns3:r>
            </ns3:sub>
            <ns3:sup>
              <ns3:r>
                <ns3:rPr>
                  <ns3:nor/>
                  <ns3:sty ns3:val="p"/>
                </ns3:rPr>
                <ns3:t>residual</ns3:t>
              </ns3:r>
            </ns3:sup>
          </ns3:sSubSup>
          <ns3:r>
            <ns3:rPr>
              <ns3:sty ns3:val="p"/>
            </ns3:rPr>
            <ns3:t>=</ns3:t>
          </ns3:r>
          <ns3:sSub>
            <ns3:e>
              <ns3:r>
                <ns3:t>P</ns3:t>
              </ns3:r>
            </ns3:e>
            <ns3:sub>
              <ns3:r>
                <ns3:rPr>
                  <ns3:nor/>
                  <ns3:sty ns3:val="p"/>
                </ns3:rPr>
                <ns3:t>sel</ns3:t>
              </ns3:r>
            </ns3:sub>
          </ns3:sSub>
          <ns3:r>
            <ns3:rPr>
              <ns3:sty ns3:val="p"/>
            </ns3:rPr>
            <ns3:t>−</ns3:t>
          </ns3:r>
          <ns3:r>
            <ns3:t>β</ns3:t>
          </ns3:r>
          <ns3:r>
            <ns3:rPr>
              <ns3:sty ns3:val="p"/>
            </ns3:rPr>
            <ns3:t>⋅</ns3:t>
          </ns3:r>
          <ns3:sSubSup>
            <ns3:e>
              <ns3:r>
                <ns3:rPr>
                  <ns3:sty ns3:val="p"/>
                </ns3:rPr>
                <ns3:t>Ψ</ns3:t>
              </ns3:r>
            </ns3:e>
            <ns3:sub>
              <ns3:r>
                <ns3:t>f</ns3:t>
              </ns3:r>
            </ns3:sub>
            <ns3:sup>
              <ns3:r>
                <ns3:rPr>
                  <ns3:nor/>
                  <ns3:sty ns3:val="p"/>
                </ns3:rPr>
                <ns3:t>baseline</ns3:t>
              </ns3:r>
            </ns3:sup>
          </ns3:sSubSup>
          <ns3:r>
            <ns3:rPr>
              <ns3:sty ns3:val="p"/>
            </ns3:rPr>
            <ns3:t>&lt;</ns3:t>
          </ns3:r>
          <ns3:sSubSup>
            <ns3:e>
              <ns3:r>
                <ns3:rPr>
                  <ns3:sty ns3:val="p"/>
                </ns3:rPr>
                <ns3:t>Ψ</ns3:t>
              </ns3:r>
            </ns3:e>
            <ns3:sub>
              <ns3:r>
                <ns3:t>f</ns3:t>
              </ns3:r>
            </ns3:sub>
            <ns3:sup>
              <ns3:r>
                <ns3:rPr>
                  <ns3:nor/>
                  <ns3:sty ns3:val="p"/>
                </ns3:rPr>
                <ns3:t>action</ns3:t>
              </ns3:r>
            </ns3:sup>
          </ns3:sSubSup>
        </ns3:oMath>
      </ns3:oMathPara>
    </w:p>
    <w:p>
      <w:pPr>
        <w:pStyle w:val="FirstParagraph"/>
      </w:pPr>
      <w:r>
        <w:t xml:space="preserve">where</w:t>
      </w:r>
      <w:r>
        <w:t xml:space="preserve"> </w:t>
      </w:r>
      <ns3:oMath>
        <ns3:sSubSup>
          <ns3:e>
            <ns3:r>
              <ns3:rPr>
                <ns3:sty ns3:val="p"/>
              </ns3:rPr>
              <ns3:t>Ψ</ns3:t>
            </ns3:r>
          </ns3:e>
          <ns3:sub>
            <ns3:r>
              <ns3:t>f</ns3:t>
            </ns3:r>
          </ns3:sub>
          <ns3:sup>
            <ns3:r>
              <ns3:rPr>
                <ns3:nor/>
                <ns3:sty ns3:val="p"/>
              </ns3:rPr>
              <ns3:t>baseline</ns3:t>
            </ns3:r>
          </ns3:sup>
        </ns3:sSubSup>
      </ns3:oMath>
      <w:r>
        <w:t xml:space="preserve"> </w:t>
      </w:r>
      <w:r>
        <w:t xml:space="preserve">is the friction cost of maintaining the current state, and</w:t>
      </w:r>
      <w:r>
        <w:t xml:space="preserve"> </w:t>
      </w:r>
      <ns3:oMath>
        <ns3:sSubSup>
          <ns3:e>
            <ns3:r>
              <ns3:rPr>
                <ns3:sty ns3:val="p"/>
              </ns3:rPr>
              <ns3:t>Ψ</ns3:t>
            </ns3:r>
          </ns3:e>
          <ns3:sub>
            <ns3:r>
              <ns3:t>f</ns3:t>
            </ns3:r>
          </ns3:sub>
          <ns3:sup>
            <ns3:r>
              <ns3:rPr>
                <ns3:nor/>
                <ns3:sty ns3:val="p"/>
              </ns3:rPr>
              <ns3:t>action</ns3:t>
            </ns3:r>
          </ns3:sup>
        </ns3:sSubSup>
      </ns3:oMath>
      <w:r>
        <w:t xml:space="preserve"> </w:t>
      </w:r>
      <w:r>
        <w:t xml:space="preserve">is the additional friction cost of initiating the target action. The agent’s</w:t>
      </w:r>
      <w:r>
        <w:t xml:space="preserve"> </w:t>
      </w:r>
      <ns3:oMath>
        <ns3:sSub>
          <ns3:e>
            <ns3:r>
              <ns3:t>L</ns3:t>
            </ns3:r>
          </ns3:e>
          <ns3:sub>
            <ns3:r>
              <ns3:t>2</ns3:t>
            </ns3:r>
          </ns3:sub>
        </ns3:sSub>
      </ns3:oMath>
      <w:r>
        <w:t xml:space="preserve"> </w:t>
      </w:r>
      <w:r>
        <w:t xml:space="preserve">model is intact (she</w:t>
      </w:r>
      <w:r>
        <w:t xml:space="preserve"> </w:t>
      </w:r>
      <w:r>
        <w:t xml:space="preserve">“knows”</w:t>
      </w:r>
      <w:r>
        <w:t xml:space="preserve">), but</w:t>
      </w:r>
      <w:r>
        <w:t xml:space="preserve"> </w:t>
      </w:r>
      <ns3:oMath>
        <ns3:sSub>
          <ns3:e>
            <ns3:acc>
              <ns3:accPr>
                <ns3:chr ns3:val="̂"/>
              </ns3:accPr>
              <ns3:e>
                <ns3:r>
                  <ns3:t>G</ns3:t>
                </ns3:r>
              </ns3:e>
            </ns3:acc>
          </ns3:e>
          <ns3:sub>
            <ns3:r>
              <ns3:t>θ</ns3:t>
            </ns3:r>
          </ns3:sub>
        </ns3:sSub>
      </ns3:oMath>
      <w:r>
        <w:t xml:space="preserve"> </w:t>
      </w:r>
      <w:r>
        <w:t xml:space="preserve">lacks the residual bandwidth to execute (she</w:t>
      </w:r>
      <w:r>
        <w:t xml:space="preserve"> </w:t>
      </w:r>
      <w:r>
        <w:t xml:space="preserve">“can’t do”</w:t>
      </w:r>
      <w:r>
        <w:t xml:space="preserve">).</w:t>
      </w:r>
    </w:p>
    <w:p>
      <w:pPr>
        <w:pStyle w:val="BodyText"/>
      </w:pPr>
      <w:r>
        <w:t xml:space="preserve">This formulation makes a specific prediction: the knowing–doing gap should be</w:t>
      </w:r>
      <w:r>
        <w:t xml:space="preserve"> </w:t>
      </w:r>
      <w:r>
        <w:rPr>
          <w:i/>
          <w:iCs/>
        </w:rPr>
        <w:t xml:space="preserve">nonlinearly</w:t>
      </w:r>
      <w:r>
        <w:t xml:space="preserve"> </w:t>
      </w:r>
      <w:r>
        <w:t xml:space="preserve">related to baseline friction load. At low</w:t>
      </w:r>
      <w:r>
        <w:t xml:space="preserve"> </w:t>
      </w:r>
      <ns3:oMath>
        <ns3:sSubSup>
          <ns3:e>
            <ns3:r>
              <ns3:rPr>
                <ns3:sty ns3:val="p"/>
              </ns3:rPr>
              <ns3:t>Ψ</ns3:t>
            </ns3:r>
          </ns3:e>
          <ns3:sub>
            <ns3:r>
              <ns3:t>f</ns3:t>
            </ns3:r>
          </ns3:sub>
          <ns3:sup>
            <ns3:r>
              <ns3:rPr>
                <ns3:nor/>
                <ns3:sty ns3:val="p"/>
              </ns3:rPr>
              <ns3:t>baseline</ns3:t>
            </ns3:r>
          </ns3:sup>
        </ns3:sSubSup>
      </ns3:oMath>
      <w:r>
        <w:t xml:space="preserve">, adding task demands produces proportional increases in task-switching cost (linear regime). As</w:t>
      </w:r>
      <w:r>
        <w:t xml:space="preserve"> </w:t>
      </w:r>
      <ns3:oMath>
        <ns3:sSubSup>
          <ns3:e>
            <ns3:r>
              <ns3:rPr>
                <ns3:sty ns3:val="p"/>
              </ns3:rPr>
              <ns3:t>Ψ</ns3:t>
            </ns3:r>
          </ns3:e>
          <ns3:sub>
            <ns3:r>
              <ns3:t>f</ns3:t>
            </ns3:r>
          </ns3:sub>
          <ns3:sup>
            <ns3:r>
              <ns3:rPr>
                <ns3:nor/>
                <ns3:sty ns3:val="p"/>
              </ns3:rPr>
              <ns3:t>baseline</ns3:t>
            </ns3:r>
          </ns3:sup>
        </ns3:sSubSup>
      </ns3:oMath>
      <w:r>
        <w:t xml:space="preserve"> </w:t>
      </w:r>
      <w:r>
        <w:t xml:space="preserve">approaches</w:t>
      </w:r>
      <w:r>
        <w:t xml:space="preserve"> </w:t>
      </w:r>
      <ns3:oMath>
        <ns3:sSub>
          <ns3:e>
            <ns3:r>
              <ns3:t>P</ns3:t>
            </ns3:r>
          </ns3:e>
          <ns3:sub>
            <ns3:r>
              <ns3:rPr>
                <ns3:nor/>
                <ns3:sty ns3:val="p"/>
              </ns3:rPr>
              <ns3:t>sel</ns3:t>
            </ns3:r>
          </ns3:sub>
        </ns3:sSub>
      </ns3:oMath>
      <w:r>
        <w:t xml:space="preserve">, small additional demands produce steep performance collapse (saturation regime).</w:t>
      </w:r>
    </w:p>
    <w:p>
      <w:pPr>
        <w:pStyle w:val="BodyText"/>
      </w:pPr>
      <w:r>
        <w:t xml:space="preserve">To parameterize this as a fit-ready critical phenomenon, define normalized control load:</w:t>
      </w:r>
    </w:p>
    <w:p>
      <w:pPr>
        <w:pStyle w:val="BodyText"/>
      </w:pPr>
      <ns3:oMathPara>
        <ns3:oMathParaPr>
          <ns3:jc ns3:val="center"/>
        </ns3:oMathParaPr>
        <ns3:oMath>
          <ns3:r>
            <ns3:t>ρ</ns3:t>
          </ns3:r>
          <ns3:r>
            <ns3:rPr>
              <ns3:sty ns3:val="p"/>
            </ns3:rPr>
            <ns3:t>(</ns3:t>
          </ns3:r>
          <ns3:r>
            <ns3:t>t</ns3:t>
          </ns3:r>
          <ns3:r>
            <ns3:rPr>
              <ns3:sty ns3:val="p"/>
            </ns3:rPr>
            <ns3:t>)</ns3:t>
          </ns3:r>
          <ns3:r>
            <ns3:rPr>
              <ns3:sty ns3:val="p"/>
            </ns3:rPr>
            <ns3:t>=</ns3:t>
          </ns3:r>
          <ns3:f>
            <ns3:fPr>
              <ns3:type ns3:val="bar"/>
            </ns3:fPr>
            <ns3:num>
              <ns3:r>
                <ns3:t>β</ns3:t>
              </ns3:r>
              <ns3:r>
                <ns3:rPr>
                  <ns3:sty ns3:val="p"/>
                </ns3:rPr>
                <ns3:t>⋅</ns3:t>
              </ns3:r>
              <ns3:sSubSup>
                <ns3:e>
                  <ns3:r>
                    <ns3:rPr>
                      <ns3:sty ns3:val="p"/>
                    </ns3:rPr>
                    <ns3:t>Ψ</ns3:t>
                  </ns3:r>
                </ns3:e>
                <ns3:sub>
                  <ns3:r>
                    <ns3:t>f</ns3:t>
                  </ns3:r>
                </ns3:sub>
                <ns3:sup>
                  <ns3:r>
                    <ns3:rPr>
                      <ns3:nor/>
                      <ns3:sty ns3:val="p"/>
                    </ns3:rPr>
                    <ns3:t>baseline</ns3:t>
                  </ns3:r>
                </ns3:sup>
              </ns3:sSubSup>
              <ns3:r>
                <ns3:rPr>
                  <ns3:sty ns3:val="p"/>
                </ns3:rPr>
                <ns3:t>(</ns3:t>
              </ns3:r>
              <ns3:r>
                <ns3:t>t</ns3:t>
              </ns3:r>
              <ns3:r>
                <ns3:rPr>
                  <ns3:sty ns3:val="p"/>
                </ns3:rPr>
                <ns3:t>)</ns3:t>
              </ns3:r>
            </ns3:num>
            <ns3:den>
              <ns3:sSub>
                <ns3:e>
                  <ns3:r>
                    <ns3:t>P</ns3:t>
                  </ns3:r>
                </ns3:e>
                <ns3:sub>
                  <ns3:r>
                    <ns3:rPr>
                      <ns3:nor/>
                      <ns3:sty ns3:val="p"/>
                    </ns3:rPr>
                    <ns3:t>sel</ns3:t>
                  </ns3:r>
                </ns3:sub>
              </ns3:sSub>
              <ns3:r>
                <ns3:rPr>
                  <ns3:sty ns3:val="p"/>
                </ns3:rPr>
                <ns3:t>(</ns3:t>
              </ns3:r>
              <ns3:r>
                <ns3:t>t</ns3:t>
              </ns3:r>
              <ns3:r>
                <ns3:rPr>
                  <ns3:sty ns3:val="p"/>
                </ns3:rPr>
                <ns3:t>)</ns3:t>
              </ns3:r>
            </ns3:den>
          </ns3:f>
        </ns3:oMath>
      </ns3:oMathPara>
    </w:p>
    <w:p>
      <w:pPr>
        <w:pStyle w:val="FirstParagraph"/>
      </w:pPr>
      <w:r>
        <w:t xml:space="preserve">and model switch cost with a changepoint:</w:t>
      </w:r>
    </w:p>
    <w:p>
      <w:pPr>
        <w:pStyle w:val="BodyText"/>
      </w:pPr>
      <ns3:oMathPara>
        <ns3:oMathParaPr>
          <ns3:jc ns3:val="center"/>
        </ns3:oMathParaPr>
        <ns3:oMath>
          <ns3:sSub>
            <ns3:e>
              <ns3:r>
                <ns3:t>C</ns3:t>
              </ns3:r>
            </ns3:e>
            <ns3:sub>
              <ns3:r>
                <ns3:rPr>
                  <ns3:nor/>
                  <ns3:sty ns3:val="p"/>
                </ns3:rPr>
                <ns3:t>switch</ns3:t>
              </ns3:r>
            </ns3:sub>
          </ns3:sSub>
          <ns3:r>
            <ns3:rPr>
              <ns3:sty ns3:val="p"/>
            </ns3:rPr>
            <ns3:t>(</ns3:t>
          </ns3:r>
          <ns3:r>
            <ns3:t>ρ</ns3:t>
          </ns3:r>
          <ns3:r>
            <ns3:rPr>
              <ns3:sty ns3:val="p"/>
            </ns3:rPr>
            <ns3:t>)</ns3:t>
          </ns3:r>
          <ns3:r>
            <ns3:rPr>
              <ns3:sty ns3:val="p"/>
            </ns3:rPr>
            <ns3:t>=</ns3:t>
          </ns3:r>
          <ns3:sSub>
            <ns3:e>
              <ns3:r>
                <ns3:t>c</ns3:t>
              </ns3:r>
            </ns3:e>
            <ns3:sub>
              <ns3:r>
                <ns3:t>0</ns3:t>
              </ns3:r>
            </ns3:sub>
          </ns3:sSub>
          <ns3:r>
            <ns3:rPr>
              <ns3:sty ns3:val="p"/>
            </ns3:rPr>
            <ns3:t>+</ns3:t>
          </ns3:r>
          <ns3:sSub>
            <ns3:e>
              <ns3:r>
                <ns3:t>c</ns3:t>
              </ns3:r>
            </ns3:e>
            <ns3:sub>
              <ns3:r>
                <ns3:t>1</ns3:t>
              </ns3:r>
            </ns3:sub>
          </ns3:sSub>
          <ns3:r>
            <ns3:t>ρ</ns3:t>
          </ns3:r>
          <ns3:r>
            <ns3:rPr>
              <ns3:sty ns3:val="p"/>
            </ns3:rPr>
            <ns3:t>+</ns3:t>
          </ns3:r>
          <ns3:sSub>
            <ns3:e>
              <ns3:r>
                <ns3:t>c</ns3:t>
              </ns3:r>
            </ns3:e>
            <ns3:sub>
              <ns3:r>
                <ns3:t>2</ns3:t>
              </ns3:r>
            </ns3:sub>
          </ns3:sSub>
          <ns3:r>
            <ns3:rPr>
              <ns3:sty ns3:val="p"/>
            </ns3:rPr>
            <ns3:t>(</ns3:t>
          </ns3:r>
          <ns3:r>
            <ns3:t>ρ</ns3:t>
          </ns3:r>
          <ns3:r>
            <ns3:rPr>
              <ns3:sty ns3:val="p"/>
            </ns3:rPr>
            <ns3:t>−</ns3:t>
          </ns3:r>
          <ns3:sSub>
            <ns3:e>
              <ns3:r>
                <ns3:t>ρ</ns3:t>
              </ns3:r>
            </ns3:e>
            <ns3:sub>
              <ns3:r>
                <ns3:t>c</ns3:t>
              </ns3:r>
            </ns3:sub>
          </ns3:sSub>
          <ns3:sSubSup>
            <ns3:e>
              <ns3:r>
                <ns3:rPr>
                  <ns3:sty ns3:val="p"/>
                </ns3:rPr>
                <ns3:t>)</ns3:t>
              </ns3:r>
            </ns3:e>
            <ns3:sub>
              <ns3:r>
                <ns3:rPr>
                  <ns3:sty ns3:val="p"/>
                </ns3:rPr>
                <ns3:t>+</ns3:t>
              </ns3:r>
            </ns3:sub>
            <ns3:sup>
              <ns3:r>
                <ns3:t>2</ns3:t>
              </ns3:r>
            </ns3:sup>
          </ns3:sSubSup>
          <ns3:r>
            <ns3:rPr>
              <ns3:sty ns3:val="p"/>
            </ns3:rPr>
            <ns3:t>,</ns3:t>
          </ns3:r>
          <ns3:r>
            <ns3:t> </ns3:t>
          </ns3:r>
          <ns3:r>
            <ns3:rPr>
              <ns3:sty ns3:val="p"/>
            </ns3:rPr>
            <ns3:t>(</ns3:t>
          </ns3:r>
          <ns3:r>
            <ns3:t>x</ns3:t>
          </ns3:r>
          <ns3:sSub>
            <ns3:e>
              <ns3:r>
                <ns3:rPr>
                  <ns3:sty ns3:val="p"/>
                </ns3:rPr>
                <ns3:t>)</ns3:t>
              </ns3:r>
            </ns3:e>
            <ns3:sub>
              <ns3:r>
                <ns3:rPr>
                  <ns3:sty ns3:val="p"/>
                </ns3:rPr>
                <ns3:t>+</ns3:t>
              </ns3:r>
            </ns3:sub>
          </ns3:sSub>
          <ns3:r>
            <ns3:rPr>
              <ns3:sty ns3:val="p"/>
            </ns3:rPr>
            <ns3:t>=</ns3:t>
          </ns3:r>
          <ns3:r>
            <ns3:rPr>
              <ns3:sty ns3:val="p"/>
            </ns3:rPr>
            <ns3:t>max</ns3:t>
          </ns3:r>
          <ns3:r>
            <ns3:rPr>
              <ns3:sty ns3:val="p"/>
            </ns3:rPr>
            <ns3:t>(</ns3:t>
          </ns3:r>
          <ns3:r>
            <ns3:t>x</ns3:t>
          </ns3:r>
          <ns3:r>
            <ns3:rPr>
              <ns3:sty ns3:val="p"/>
            </ns3:rPr>
            <ns3:t>,</ns3:t>
          </ns3:r>
          <ns3:r>
            <ns3:t>0</ns3:t>
          </ns3:r>
          <ns3:r>
            <ns3:rPr>
              <ns3:sty ns3:val="p"/>
            </ns3:rPr>
            <ns3:t>)</ns3:t>
          </ns3:r>
        </ns3:oMath>
      </ns3:oMathPara>
    </w:p>
    <w:p>
      <w:pPr>
        <w:pStyle w:val="FirstParagraph"/>
      </w:pPr>
      <w:r>
        <w:t xml:space="preserve">where</w:t>
      </w:r>
      <w:r>
        <w:t xml:space="preserve"> </w:t>
      </w:r>
      <ns3:oMath>
        <ns3:sSub>
          <ns3:e>
            <ns3:r>
              <ns3:t>ρ</ns3:t>
            </ns3:r>
          </ns3:e>
          <ns3:sub>
            <ns3:r>
              <ns3:t>c</ns3:t>
            </ns3:r>
          </ns3:sub>
        </ns3:sSub>
      </ns3:oMath>
      <w:r>
        <w:t xml:space="preserve"> </w:t>
      </w:r>
      <w:r>
        <w:t xml:space="preserve">is the estimated critical point. The model predicts a stable linear region for</w:t>
      </w:r>
      <w:r>
        <w:t xml:space="preserve"> </w:t>
      </w:r>
      <ns3:oMath>
        <ns3:r>
          <ns3:t>ρ</ns3:t>
        </ns3:r>
        <ns3:r>
          <ns3:rPr>
            <ns3:sty ns3:val="p"/>
          </ns3:rPr>
          <ns3:t>&lt;</ns3:t>
        </ns3:r>
        <ns3:sSub>
          <ns3:e>
            <ns3:r>
              <ns3:t>ρ</ns3:t>
            </ns3:r>
          </ns3:e>
          <ns3:sub>
            <ns3:r>
              <ns3:t>c</ns3:t>
            </ns3:r>
          </ns3:sub>
        </ns3:sSub>
      </ns3:oMath>
      <w:r>
        <w:t xml:space="preserve"> </w:t>
      </w:r>
      <w:r>
        <w:t xml:space="preserve">and accelerated cost growth for</w:t>
      </w:r>
      <w:r>
        <w:t xml:space="preserve"> </w:t>
      </w:r>
      <ns3:oMath>
        <ns3:r>
          <ns3:t>ρ</ns3:t>
        </ns3:r>
        <ns3:r>
          <ns3:rPr>
            <ns3:sty ns3:val="p"/>
          </ns3:rPr>
          <ns3:t>≥</ns3:t>
        </ns3:r>
        <ns3:sSub>
          <ns3:e>
            <ns3:r>
              <ns3:t>ρ</ns3:t>
            </ns3:r>
          </ns3:e>
          <ns3:sub>
            <ns3:r>
              <ns3:t>c</ns3:t>
            </ns3:r>
          </ns3:sub>
        </ns3:sSub>
      </ns3:oMath>
      <w:r>
        <w:t xml:space="preserve">, with</w:t>
      </w:r>
      <w:r>
        <w:t xml:space="preserve"> </w:t>
      </w:r>
      <ns3:oMath>
        <ns3:sSub>
          <ns3:e>
            <ns3:r>
              <ns3:t>ρ</ns3:t>
            </ns3:r>
          </ns3:e>
          <ns3:sub>
            <ns3:r>
              <ns3:t>c</ns3:t>
            </ns3:r>
          </ns3:sub>
        </ns3:sSub>
      </ns3:oMath>
      <w:r>
        <w:t xml:space="preserve"> </w:t>
      </w:r>
      <w:r>
        <w:t xml:space="preserve">expected in a high-load band near resource saturation. Empirically,</w:t>
      </w:r>
      <w:r>
        <w:t xml:space="preserve"> </w:t>
      </w:r>
      <ns3:oMath>
        <ns3:sSub>
          <ns3:e>
            <ns3:r>
              <ns3:t>ρ</ns3:t>
            </ns3:r>
          </ns3:e>
          <ns3:sub>
            <ns3:r>
              <ns3:t>c</ns3:t>
            </ns3:r>
          </ns3:sub>
        </ns3:sSub>
      </ns3:oMath>
      <w:r>
        <w:t xml:space="preserve"> </w:t>
      </w:r>
      <w:r>
        <w:t xml:space="preserve">can be estimated via segmented regression, threshold mixed models, or Bayesian changepoint inference.</w:t>
      </w:r>
    </w:p>
    <w:bookmarkEnd w:id="17"/>
    <w:bookmarkStart w:id="18" w:name="Xc654fdd254663b10905527ca15cc4f7934cc646"/>
    <w:p>
      <w:pPr>
        <w:pStyle w:val="Heading3"/>
      </w:pPr>
      <w:r>
        <w:t xml:space="preserve">2.4 Relationship to Predictive Processing and Free Energy Minimization</w:t>
      </w:r>
    </w:p>
    <w:p>
      <w:pPr>
        <w:pStyle w:val="FirstParagraph"/>
      </w:pPr>
      <ns3:oMath>
        <ns3:sSub>
          <ns3:e>
            <ns3:r>
              <ns3:rPr>
                <ns3:sty ns3:val="p"/>
              </ns3:rPr>
              <ns3:t>Ψ</ns3:t>
            </ns3:r>
          </ns3:e>
          <ns3:sub>
            <ns3:r>
              <ns3:t>f</ns3:t>
            </ns3:r>
          </ns3:sub>
        </ns3:sSub>
      </ns3:oMath>
      <w:r>
        <w:t xml:space="preserve"> </w:t>
      </w:r>
      <w:r>
        <w:t xml:space="preserve">bears a formal relationship to the complexity term in variational free energy. In the FEP framework, the variational free energy</w:t>
      </w:r>
      <w:r>
        <w:t xml:space="preserve"> </w:t>
      </w:r>
      <ns3:oMath>
        <ns3:r>
          <ns3:t>F</ns3:t>
        </ns3:r>
      </ns3:oMath>
      <w:r>
        <w:t xml:space="preserve"> </w:t>
      </w:r>
      <w:r>
        <w:t xml:space="preserve">decomposes as:</w:t>
      </w:r>
    </w:p>
    <w:p>
      <w:pPr>
        <w:pStyle w:val="BodyText"/>
      </w:pPr>
      <ns3:oMathPara>
        <ns3:oMathParaPr>
          <ns3:jc ns3:val="center"/>
        </ns3:oMathParaPr>
        <ns3:oMath>
          <ns3:r>
            <ns3:t>F</ns3:t>
          </ns3:r>
          <ns3:r>
            <ns3:rPr>
              <ns3:sty ns3:val="p"/>
            </ns3:rPr>
            <ns3:t>=</ns3:t>
          </ns3:r>
          <ns3:limLow>
            <ns3:e>
              <ns3:limLow>
                <ns3:e>
                  <ns3:sSub>
                    <ns3:e>
                      <ns3:r>
                        <ns3:t>D</ns3:t>
                      </ns3:r>
                    </ns3:e>
                    <ns3:sub>
                      <ns3:r>
                        <ns3:t>K</ns3:t>
                      </ns3:r>
                      <ns3:r>
                        <ns3:t>L</ns3:t>
                      </ns3:r>
                    </ns3:sub>
                  </ns3:sSub>
                  <ns3:r>
                    <ns3:rPr>
                      <ns3:sty ns3:val="p"/>
                    </ns3:rPr>
                    <ns3:t>[</ns3:t>
                  </ns3:r>
                  <ns3:r>
                    <ns3:t>Q</ns3:t>
                  </ns3:r>
                  <ns3:r>
                    <ns3:rPr>
                      <ns3:sty ns3:val="p"/>
                    </ns3:rPr>
                    <ns3:t>(</ns3:t>
                  </ns3:r>
                  <ns3:r>
                    <ns3:t>θ</ns3:t>
                  </ns3:r>
                  <ns3:r>
                    <ns3:rPr>
                      <ns3:sty ns3:val="p"/>
                    </ns3:rPr>
                    <ns3:t>)</ns3:t>
                  </ns3:r>
                  <ns3:r>
                    <ns3:rPr>
                      <ns3:sty ns3:val="p"/>
                    </ns3:rPr>
                    <ns3:t>∥</ns3:t>
                  </ns3:r>
                  <ns3:r>
                    <ns3:t>P</ns3:t>
                  </ns3:r>
                  <ns3:r>
                    <ns3:rPr>
                      <ns3:sty ns3:val="p"/>
                    </ns3:rPr>
                    <ns3:t>(</ns3:t>
                  </ns3:r>
                  <ns3:r>
                    <ns3:t>θ</ns3:t>
                  </ns3:r>
                  <ns3:r>
                    <ns3:rPr>
                      <ns3:sty ns3:val="p"/>
                    </ns3:rPr>
                    <ns3:t>)</ns3:t>
                  </ns3:r>
                  <ns3:r>
                    <ns3:rPr>
                      <ns3:sty ns3:val="p"/>
                    </ns3:rPr>
                    <ns3:t>]</ns3:t>
                  </ns3:r>
                </ns3:e>
                <ns3:lim>
                  <ns3:r>
                    <ns3:rPr>
                      <ns3:sty ns3:val="p"/>
                    </ns3:rPr>
                    <ns3:t>⏟</ns3:t>
                  </ns3:r>
                </ns3:lim>
              </ns3:limLow>
            </ns3:e>
            <ns3:lim>
              <ns3:r>
                <ns3:rPr>
                  <ns3:nor/>
                  <ns3:sty ns3:val="p"/>
                </ns3:rPr>
                <ns3:t>Complexity</ns3:t>
              </ns3:r>
            </ns3:lim>
          </ns3:limLow>
          <ns3:r>
            <ns3:rPr>
              <ns3:sty ns3:val="p"/>
            </ns3:rPr>
            <ns3:t>−</ns3:t>
          </ns3:r>
          <ns3:limLow>
            <ns3:e>
              <ns3:limLow>
                <ns3:e>
                  <ns3:sSub>
                    <ns3:e>
                      <ns3:r>
                        <ns3:rPr>
                          <ns3:scr ns3:val="double-struck"/>
                          <ns3:sty ns3:val="p"/>
                        </ns3:rPr>
                        <ns3:t>E</ns3:t>
                      </ns3:r>
                    </ns3:e>
                    <ns3:sub>
                      <ns3:r>
                        <ns3:t>Q</ns3:t>
                      </ns3:r>
                    </ns3:sub>
                  </ns3:sSub>
                  <ns3:r>
                    <ns3:rPr>
                      <ns3:sty ns3:val="p"/>
                    </ns3:rPr>
                    <ns3:t>[</ns3:t>
                  </ns3:r>
                  <ns3:r>
                    <ns3:rPr>
                      <ns3:sty ns3:val="p"/>
                    </ns3:rPr>
                    <ns3:t>ln</ns3:t>
                  </ns3:r>
                  <ns3:r>
                    <ns3:t>P</ns3:t>
                  </ns3:r>
                  <ns3:r>
                    <ns3:rPr>
                      <ns3:sty ns3:val="p"/>
                    </ns3:rPr>
                    <ns3:t>(</ns3:t>
                  </ns3:r>
                  <ns3:r>
                    <ns3:rPr>
                      <ns3:nor/>
                      <ns3:sty ns3:val="p"/>
                    </ns3:rPr>
                    <ns3:t>data</ns3:t>
                  </ns3:r>
                  <ns3:r>
                    <ns3:rPr>
                      <ns3:sty ns3:val="p"/>
                    </ns3:rPr>
                    <ns3:t>|</ns3:t>
                  </ns3:r>
                  <ns3:r>
                    <ns3:t>θ</ns3:t>
                  </ns3:r>
                  <ns3:r>
                    <ns3:rPr>
                      <ns3:sty ns3:val="p"/>
                    </ns3:rPr>
                    <ns3:t>)</ns3:t>
                  </ns3:r>
                  <ns3:r>
                    <ns3:rPr>
                      <ns3:sty ns3:val="p"/>
                    </ns3:rPr>
                    <ns3:t>]</ns3:t>
                  </ns3:r>
                </ns3:e>
                <ns3:lim>
                  <ns3:r>
                    <ns3:rPr>
                      <ns3:sty ns3:val="p"/>
                    </ns3:rPr>
                    <ns3:t>⏟</ns3:t>
                  </ns3:r>
                </ns3:lim>
              </ns3:limLow>
            </ns3:e>
            <ns3:lim>
              <ns3:r>
                <ns3:rPr>
                  <ns3:nor/>
                  <ns3:sty ns3:val="p"/>
                </ns3:rPr>
                <ns3:t>Accuracy</ns3:t>
              </ns3:r>
            </ns3:lim>
          </ns3:limLow>
        </ns3:oMath>
      </ns3:oMathPara>
    </w:p>
    <w:p>
      <w:pPr>
        <w:pStyle w:val="FirstParagraph"/>
      </w:pPr>
      <w:r>
        <w:t xml:space="preserve">The complexity term</w:t>
      </w:r>
      <w:r>
        <w:t xml:space="preserve"> </w:t>
      </w:r>
      <ns3:oMath>
        <ns3:sSub>
          <ns3:e>
            <ns3:r>
              <ns3:t>D</ns3:t>
            </ns3:r>
          </ns3:e>
          <ns3:sub>
            <ns3:r>
              <ns3:t>K</ns3:t>
            </ns3:r>
            <ns3:r>
              <ns3:t>L</ns3:t>
            </ns3:r>
          </ns3:sub>
        </ns3:sSub>
        <ns3:r>
          <ns3:rPr>
            <ns3:sty ns3:val="p"/>
          </ns3:rPr>
          <ns3:t>[</ns3:t>
        </ns3:r>
        <ns3:r>
          <ns3:t>Q</ns3:t>
        </ns3:r>
        <ns3:r>
          <ns3:rPr>
            <ns3:sty ns3:val="p"/>
          </ns3:rPr>
          <ns3:t>∥</ns3:t>
        </ns3:r>
        <ns3:r>
          <ns3:t>P</ns3:t>
        </ns3:r>
        <ns3:r>
          <ns3:rPr>
            <ns3:sty ns3:val="p"/>
          </ns3:rPr>
          <ns3:t>]</ns3:t>
        </ns3:r>
      </ns3:oMath>
      <w:r>
        <w:t xml:space="preserve"> </w:t>
      </w:r>
      <w:r>
        <w:t xml:space="preserve">penalizes posteriors that deviate from priors — formally analogous to the information-geometric friction form in Equation (3d). In this reading,</w:t>
      </w:r>
      <w:r>
        <w:t xml:space="preserve"> </w:t>
      </w:r>
      <ns3:oMath>
        <ns3:sSub>
          <ns3:e>
            <ns3:r>
              <ns3:rPr>
                <ns3:sty ns3:val="p"/>
              </ns3:rPr>
              <ns3:t>Ψ</ns3:t>
            </ns3:r>
          </ns3:e>
          <ns3:sub>
            <ns3:r>
              <ns3:t>f</ns3:t>
            </ns3:r>
          </ns3:sub>
        </ns3:sSub>
      </ns3:oMath>
      <w:r>
        <w:t xml:space="preserve"> </w:t>
      </w:r>
      <w:r>
        <w:t xml:space="preserve">generalizes complexity cost by (a) accumulating over time, (b) applying to executed percept-action control rather than beliefs alone, and (c) linking to energetic budgets through Equation (5).</w:t>
      </w:r>
    </w:p>
    <w:p>
      <w:pPr>
        <w:pStyle w:val="BodyText"/>
      </w:pPr>
      <w:r>
        <w:t xml:space="preserve">The critical distinction between SRT and standard FEP is in the normative implication. FEP implies that systems</w:t>
      </w:r>
      <w:r>
        <w:t xml:space="preserve"> </w:t>
      </w:r>
      <w:r>
        <w:rPr>
          <w:i/>
          <w:iCs/>
        </w:rPr>
        <w:t xml:space="preserve">should</w:t>
      </w:r>
      <w:r>
        <w:t xml:space="preserve"> </w:t>
      </w:r>
      <w:r>
        <w:t xml:space="preserve">minimize free energy and, by extension, minimize the complexity cost. SRT acknowledges that some states</w:t>
      </w:r>
      <w:r>
        <w:t xml:space="preserve"> </w:t>
      </w:r>
      <w:r>
        <w:rPr>
          <w:i/>
          <w:iCs/>
        </w:rPr>
        <w:t xml:space="preserve">require</w:t>
      </w:r>
      <w:r>
        <w:t xml:space="preserve"> </w:t>
      </w:r>
      <w:r>
        <w:t xml:space="preserve">sustained high</w:t>
      </w:r>
      <w:r>
        <w:t xml:space="preserve"> </w:t>
      </w:r>
      <ns3:oMath>
        <ns3:sSub>
          <ns3:e>
            <ns3:r>
              <ns3:rPr>
                <ns3:sty ns3:val="p"/>
              </ns3:rPr>
              <ns3:t>Ψ</ns3:t>
            </ns3:r>
          </ns3:e>
          <ns3:sub>
            <ns3:r>
              <ns3:t>f</ns3:t>
            </ns3:r>
          </ns3:sub>
        </ns3:sSub>
      </ns3:oMath>
      <w:r>
        <w:t xml:space="preserve"> </w:t>
      </w:r>
      <w:r>
        <w:t xml:space="preserve">— creative insight that resists premature closure, ethical choices that resist default heuristics, grief that maintains connection to the departed. In these cases, high</w:t>
      </w:r>
      <w:r>
        <w:t xml:space="preserve"> </w:t>
      </w:r>
      <ns3:oMath>
        <ns3:sSub>
          <ns3:e>
            <ns3:r>
              <ns3:rPr>
                <ns3:sty ns3:val="p"/>
              </ns3:rPr>
              <ns3:t>Ψ</ns3:t>
            </ns3:r>
          </ns3:e>
          <ns3:sub>
            <ns3:r>
              <ns3:t>f</ns3:t>
            </ns3:r>
          </ns3:sub>
        </ns3:sSub>
      </ns3:oMath>
      <w:r>
        <w:t xml:space="preserve"> </w:t>
      </w:r>
      <w:r>
        <w:t xml:space="preserve">is not pathological but constitutive of the valued state. Pathology arises not from high</w:t>
      </w:r>
      <w:r>
        <w:t xml:space="preserve"> </w:t>
      </w:r>
      <ns3:oMath>
        <ns3:sSub>
          <ns3:e>
            <ns3:r>
              <ns3:rPr>
                <ns3:sty ns3:val="p"/>
              </ns3:rPr>
              <ns3:t>Ψ</ns3:t>
            </ns3:r>
          </ns3:e>
          <ns3:sub>
            <ns3:r>
              <ns3:t>f</ns3:t>
            </ns3:r>
          </ns3:sub>
        </ns3:sSub>
      </ns3:oMath>
      <w:r>
        <w:t xml:space="preserve"> </w:t>
      </w:r>
      <w:r>
        <w:t xml:space="preserve">per se, but from</w:t>
      </w:r>
      <w:r>
        <w:t xml:space="preserve"> </w:t>
      </w:r>
      <w:r>
        <w:rPr>
          <w:i/>
          <w:iCs/>
        </w:rPr>
        <w:t xml:space="preserve">unsustainable</w:t>
      </w:r>
      <w:r>
        <w:t xml:space="preserve"> </w:t>
      </w:r>
      <ns3:oMath>
        <ns3:sSub>
          <ns3:e>
            <ns3:r>
              <ns3:rPr>
                <ns3:sty ns3:val="p"/>
              </ns3:rPr>
              <ns3:t>Ψ</ns3:t>
            </ns3:r>
          </ns3:e>
          <ns3:sub>
            <ns3:r>
              <ns3:t>f</ns3:t>
            </ns3:r>
          </ns3:sub>
        </ns3:sSub>
      </ns3:oMath>
      <w:r>
        <w:t xml:space="preserve"> </w:t>
      </w:r>
      <w:r>
        <w:t xml:space="preserve">— when the cost chronically exceeds the agent’s selection power budget.</w:t>
      </w:r>
    </w:p>
    <w:p>
      <w:pPr>
        <w:pStyle w:val="BodyText"/>
      </w:pPr>
      <w:r>
        <w:t xml:space="preserve">This distinction has immediate clinical relevance: the therapeutic goal is not to eliminate</w:t>
      </w:r>
      <w:r>
        <w:t xml:space="preserve"> </w:t>
      </w:r>
      <ns3:oMath>
        <ns3:sSub>
          <ns3:e>
            <ns3:r>
              <ns3:rPr>
                <ns3:sty ns3:val="p"/>
              </ns3:rPr>
              <ns3:t>Ψ</ns3:t>
            </ns3:r>
          </ns3:e>
          <ns3:sub>
            <ns3:r>
              <ns3:t>f</ns3:t>
            </ns3:r>
          </ns3:sub>
        </ns3:sSub>
      </ns3:oMath>
      <w:r>
        <w:t xml:space="preserve"> </w:t>
      </w:r>
      <w:r>
        <w:t xml:space="preserve">(which would eliminate agency) but to restore the balance between</w:t>
      </w:r>
      <w:r>
        <w:t xml:space="preserve"> </w:t>
      </w:r>
      <ns3:oMath>
        <ns3:sSub>
          <ns3:e>
            <ns3:r>
              <ns3:rPr>
                <ns3:sty ns3:val="p"/>
              </ns3:rPr>
              <ns3:t>Ψ</ns3:t>
            </ns3:r>
          </ns3:e>
          <ns3:sub>
            <ns3:r>
              <ns3:t>f</ns3:t>
            </ns3:r>
          </ns3:sub>
        </ns3:sSub>
      </ns3:oMath>
      <w:r>
        <w:t xml:space="preserve"> </w:t>
      </w:r>
      <w:r>
        <w:t xml:space="preserve">and</w:t>
      </w:r>
      <w:r>
        <w:t xml:space="preserve"> </w:t>
      </w:r>
      <ns3:oMath>
        <ns3:sSub>
          <ns3:e>
            <ns3:r>
              <ns3:t>P</ns3:t>
            </ns3:r>
          </ns3:e>
          <ns3:sub>
            <ns3:r>
              <ns3:rPr>
                <ns3:nor/>
                <ns3:sty ns3:val="p"/>
              </ns3:rPr>
              <ns3:t>sel</ns3:t>
            </ns3:r>
          </ns3:sub>
        </ns3:sSub>
      </ns3:oMath>
      <w:r>
        <w:t xml:space="preserve">, either by reducing unnecessary friction or by expanding selection power capacity.</w:t>
      </w:r>
    </w:p>
    <w:bookmarkEnd w:id="18"/>
    <w:bookmarkStart w:id="22" w:name="X7bc66cb39cea34bda9b0637ac5717aa9f5abb90"/>
    <w:p>
      <w:pPr>
        <w:pStyle w:val="Heading3"/>
      </w:pPr>
      <w:r>
        <w:t xml:space="preserve">2.5 Dimensionalization and Identifiability (Empirical Budget Form)</w:t>
      </w:r>
    </w:p>
    <w:p>
      <w:pPr>
        <w:pStyle w:val="FirstParagraph"/>
      </w:pPr>
      <w:r>
        <w:t xml:space="preserve">Equation (5) is used in this manuscript as an</w:t>
      </w:r>
      <w:r>
        <w:t xml:space="preserve"> </w:t>
      </w:r>
      <w:r>
        <w:rPr>
          <w:b/>
          <w:bCs/>
        </w:rPr>
        <w:t xml:space="preserve">empirically identifiable statistical budget model</w:t>
      </w:r>
      <w:r>
        <w:t xml:space="preserve">, not as a closed-form physical law with fixed SI units. For phase-1/2 inference, we estimate all terms in standardized space:</w:t>
      </w:r>
    </w:p>
    <w:p>
      <w:pPr>
        <w:pStyle w:val="BodyText"/>
      </w:pPr>
      <ns3:oMathPara>
        <ns3:oMathParaPr>
          <ns3:jc ns3:val="center"/>
        </ns3:oMathParaPr>
        <ns3:oMath>
          <ns3:f>
            <ns3:fPr>
              <ns3:type ns3:val="bar"/>
            </ns3:fPr>
            <ns3:num>
              <ns3:r>
                <ns3:t>d</ns3:t>
              </ns3:r>
              <ns3:acc>
                <ns3:accPr>
                  <ns3:chr ns3:val="̃"/>
                </ns3:accPr>
                <ns3:e>
                  <ns3:r>
                    <ns3:t>q</ns3:t>
                  </ns3:r>
                </ns3:e>
              </ns3:acc>
            </ns3:num>
            <ns3:den>
              <ns3:r>
                <ns3:t>d</ns3:t>
              </ns3:r>
              <ns3:r>
                <ns3:t>t</ns3:t>
              </ns3:r>
            </ns3:den>
          </ns3:f>
          <ns3:r>
            <ns3:rPr>
              <ns3:sty ns3:val="p"/>
            </ns3:rPr>
            <ns3:t>≤</ns3:t>
          </ns3:r>
          <ns3:sSub>
            <ns3:e>
              <ns3:r>
                <ns3:t>w</ns3:t>
              </ns3:r>
            </ns3:e>
            <ns3:sub>
              <ns3:r>
                <ns3:t>0</ns3:t>
              </ns3:r>
            </ns3:sub>
          </ns3:sSub>
          <ns3:r>
            <ns3:rPr>
              <ns3:sty ns3:val="p"/>
            </ns3:rPr>
            <ns3:t>+</ns3:t>
          </ns3:r>
          <ns3:r>
            <ns3:t>α</ns3:t>
          </ns3:r>
          <ns3:r>
            <ns3:t> </ns3:t>
          </ns3:r>
          <ns3:sSub>
            <ns3:e>
              <ns3:acc>
                <ns3:accPr>
                  <ns3:chr ns3:val="̃"/>
                </ns3:accPr>
                <ns3:e>
                  <ns3:r>
                    <ns3:t>P</ns3:t>
                  </ns3:r>
                </ns3:e>
              </ns3:acc>
            </ns3:e>
            <ns3:sub>
              <ns3:r>
                <ns3:rPr>
                  <ns3:nor/>
                  <ns3:sty ns3:val="p"/>
                </ns3:rPr>
                <ns3:t>sel</ns3:t>
              </ns3:r>
            </ns3:sub>
          </ns3:sSub>
          <ns3:r>
            <ns3:rPr>
              <ns3:sty ns3:val="p"/>
            </ns3:rPr>
            <ns3:t>−</ns3:t>
          </ns3:r>
          <ns3:r>
            <ns3:t>β</ns3:t>
          </ns3:r>
          <ns3:r>
            <ns3:t> </ns3:t>
          </ns3:r>
          <ns3:sSub>
            <ns3:e>
              <ns3:acc>
                <ns3:accPr>
                  <ns3:chr ns3:val="̃"/>
                </ns3:accPr>
                <ns3:e>
                  <ns3:r>
                    <ns3:rPr>
                      <ns3:sty ns3:val="p"/>
                    </ns3:rPr>
                    <ns3:t>Ψ</ns3:t>
                  </ns3:r>
                </ns3:e>
              </ns3:acc>
            </ns3:e>
            <ns3:sub>
              <ns3:r>
                <ns3:t>f</ns3:t>
              </ns3:r>
            </ns3:sub>
          </ns3:sSub>
          <ns3:r>
            <ns3:rPr>
              <ns3:sty ns3:val="p"/>
            </ns3:rPr>
            <ns3:t>−</ns3:t>
          </ns3:r>
          <ns3:r>
            <ns3:t>γ</ns3:t>
          </ns3:r>
          <ns3:r>
            <ns3:t> </ns3:t>
          </ns3:r>
          <ns3:sSub>
            <ns3:e>
              <ns3:acc>
                <ns3:accPr>
                  <ns3:chr ns3:val="̃"/>
                </ns3:accPr>
                <ns3:e>
                  <ns3:r>
                    <ns3:t>S</ns3:t>
                  </ns3:r>
                </ns3:e>
              </ns3:acc>
            </ns3:e>
            <ns3:sub>
              <ns3:r>
                <ns3:rPr>
                  <ns3:nor/>
                  <ns3:sty ns3:val="p"/>
                </ns3:rPr>
                <ns3:t>noise</ns3:t>
              </ns3:r>
            </ns3:sub>
          </ns3:sSub>
          <ns3:r>
            <ns3:rPr>
              <ns3:sty ns3:val="p"/>
            </ns3:rPr>
            <ns3:t>+</ns3:t>
          </ns3:r>
          <ns3:sSub>
            <ns3:e>
              <ns3:r>
                <ns3:t>ε</ns3:t>
              </ns3:r>
            </ns3:e>
            <ns3:sub>
              <ns3:r>
                <ns3:t>t</ns3:t>
              </ns3:r>
            </ns3:sub>
          </ns3:sSub>
          <ns3:r>
            <ns3:t>  </ns3:t>
          </ns3:r>
          <ns3:r>
            <ns3:rPr>
              <ns3:nor/>
              <ns3:sty ns3:val="p"/>
            </ns3:rPr>
            <ns3:t>(5z)</ns3:t>
          </ns3:r>
        </ns3:oMath>
      </ns3:oMathPara>
    </w:p>
    <w:p>
      <w:pPr>
        <w:pStyle w:val="FirstParagraph"/>
      </w:pPr>
      <w:r>
        <w:t xml:space="preserve">where tildes denote z-scored quantities, and</w:t>
      </w:r>
      <w:r>
        <w:t xml:space="preserve"> </w:t>
      </w:r>
      <ns3:oMath>
        <ns3:r>
          <ns3:t>α</ns3:t>
        </ns3:r>
        <ns3:r>
          <ns3:rPr>
            <ns3:sty ns3:val="p"/>
          </ns3:rPr>
          <ns3:t>,</ns3:t>
        </ns3:r>
        <ns3:r>
          <ns3:t>β</ns3:t>
        </ns3:r>
        <ns3:r>
          <ns3:rPr>
            <ns3:sty ns3:val="p"/>
          </ns3:rPr>
          <ns3:t>,</ns3:t>
        </ns3:r>
        <ns3:r>
          <ns3:t>γ</ns3:t>
        </ns3:r>
      </ns3:oMath>
      <w:r>
        <w:t xml:space="preserve"> </w:t>
      </w:r>
      <w:r>
        <w:t xml:space="preserve">are regression weights to be estimated from data (not universal physical constants). In this form,</w:t>
      </w:r>
      <w:r>
        <w:t xml:space="preserve"> </w:t>
      </w:r>
      <ns3:oMath>
        <ns3:acc>
          <ns3:accPr>
            <ns3:chr ns3:val="̃"/>
          </ns3:accPr>
          <ns3:e>
            <ns3:r>
              <ns3:t>q</ns3:t>
            </ns3:r>
          </ns3:e>
        </ns3:acc>
      </ns3:oMath>
      <w:r>
        <w:t xml:space="preserve"> </w:t>
      </w:r>
      <w:r>
        <w:t xml:space="preserve">is a dimensionless state-stability/order index, and all predictors are unitless standardized indicators. Minimal proxy anchoring follows Table 1:</w:t>
      </w:r>
      <w:r>
        <w:t xml:space="preserve"> </w:t>
      </w:r>
      <ns3:oMath>
        <ns3:sSub>
          <ns3:e>
            <ns3:acc>
              <ns3:accPr>
                <ns3:chr ns3:val="̃"/>
              </ns3:accPr>
              <ns3:e>
                <ns3:r>
                  <ns3:t>P</ns3:t>
                </ns3:r>
              </ns3:e>
            </ns3:acc>
          </ns3:e>
          <ns3:sub>
            <ns3:r>
              <ns3:rPr>
                <ns3:nor/>
                <ns3:sty ns3:val="p"/>
              </ns3:rPr>
              <ns3:t>sel</ns3:t>
            </ns3:r>
          </ns3:sub>
        </ns3:sSub>
      </ns3:oMath>
      <w:r>
        <w:t xml:space="preserve"> </w:t>
      </w:r>
      <w:r>
        <w:t xml:space="preserve">from HRV/SCR recovery indicators,</w:t>
      </w:r>
      <w:r>
        <w:t xml:space="preserve"> </w:t>
      </w:r>
      <ns3:oMath>
        <ns3:sSub>
          <ns3:e>
            <ns3:acc>
              <ns3:accPr>
                <ns3:chr ns3:val="̃"/>
              </ns3:accPr>
              <ns3:e>
                <ns3:r>
                  <ns3:rPr>
                    <ns3:sty ns3:val="p"/>
                  </ns3:rPr>
                  <ns3:t>Ψ</ns3:t>
                </ns3:r>
              </ns3:e>
            </ns3:acc>
          </ns3:e>
          <ns3:sub>
            <ns3:r>
              <ns3:t>f</ns3:t>
            </ns3:r>
          </ns3:sub>
        </ns3:sSub>
      </ns3:oMath>
      <w:r>
        <w:t xml:space="preserve"> </w:t>
      </w:r>
      <w:r>
        <w:t xml:space="preserve">from latent-factor estimation over behavioral-linguistic-physiological indicators, and</w:t>
      </w:r>
      <w:r>
        <w:t xml:space="preserve"> </w:t>
      </w:r>
      <ns3:oMath>
        <ns3:sSub>
          <ns3:e>
            <ns3:acc>
              <ns3:accPr>
                <ns3:chr ns3:val="̃"/>
              </ns3:accPr>
              <ns3:e>
                <ns3:r>
                  <ns3:t>S</ns3:t>
                </ns3:r>
              </ns3:e>
            </ns3:acc>
          </ns3:e>
          <ns3:sub>
            <ns3:r>
              <ns3:rPr>
                <ns3:nor/>
                <ns3:sty ns3:val="p"/>
              </ns3:rPr>
              <ns3:t>noise</ns3:t>
            </ns3:r>
          </ns3:sub>
        </ns3:sSub>
      </ns3:oMath>
      <w:r>
        <w:t xml:space="preserve"> </w:t>
      </w:r>
      <w:r>
        <w:t xml:space="preserve">from task conflict/entropy manipulations.</w:t>
      </w:r>
    </w:p>
    <w:p>
      <w:pPr>
        <w:pStyle w:val="BodyText"/>
      </w:pPr>
      <w:r>
        <w:t xml:space="preserve">For confirmatory phase-1 analyses, we operationalize</w:t>
      </w:r>
      <w:r>
        <w:t xml:space="preserve"> </w:t>
      </w:r>
      <ns3:oMath>
        <ns3:r>
          <ns3:t>q</ns3:t>
        </ns3:r>
        <ns3:r>
          <ns3:rPr>
            <ns3:sty ns3:val="p"/>
          </ns3:rPr>
          <ns3:t>(</ns3:t>
        </ns3:r>
        <ns3:sSub>
          <ns3:e>
            <ns3:r>
              <ns3:t>L</ns3:t>
            </ns3:r>
          </ns3:e>
          <ns3:sub>
            <ns3:r>
              <ns3:t>1</ns3:t>
            </ns3:r>
          </ns3:sub>
        </ns3:sSub>
        <ns3:r>
          <ns3:rPr>
            <ns3:sty ns3:val="p"/>
          </ns3:rPr>
          <ns3:t>)</ns3:t>
        </ns3:r>
      </ns3:oMath>
      <w:r>
        <w:t xml:space="preserve"> </w:t>
      </w:r>
      <w:r>
        <w:t xml:space="preserve">with a minimal observable index:</w:t>
      </w:r>
    </w:p>
    <w:p>
      <w:pPr>
        <w:pStyle w:val="BodyText"/>
      </w:pPr>
      <ns3:oMathPara>
        <ns3:oMathParaPr>
          <ns3:jc ns3:val="center"/>
        </ns3:oMathParaPr>
        <ns3:oMath>
          <ns3:sSup>
            <ns3:e>
              <ns3:r>
                <ns3:t>q</ns3:t>
              </ns3:r>
            </ns3:e>
            <ns3:sup>
              <ns3:r>
                <ns3:rPr>
                  <ns3:sty ns3:val="p"/>
                </ns3:rPr>
                <ns3:t>*</ns3:t>
              </ns3:r>
            </ns3:sup>
          </ns3:sSup>
          <ns3:r>
            <ns3:rPr>
              <ns3:sty ns3:val="p"/>
            </ns3:rPr>
            <ns3:t>(</ns3:t>
          </ns3:r>
          <ns3:r>
            <ns3:t>t</ns3:t>
          </ns3:r>
          <ns3:r>
            <ns3:rPr>
              <ns3:sty ns3:val="p"/>
            </ns3:rPr>
            <ns3:t>)</ns3:t>
          </ns3:r>
          <ns3:r>
            <ns3:rPr>
              <ns3:sty ns3:val="p"/>
            </ns3:rPr>
            <ns3:t>=</ns3:t>
          </ns3:r>
          <ns3:f>
            <ns3:fPr>
              <ns3:type ns3:val="bar"/>
            </ns3:fPr>
            <ns3:num>
              <ns3:r>
                <ns3:t>1</ns3:t>
              </ns3:r>
            </ns3:num>
            <ns3:den>
              <ns3:r>
                <ns3:t>2</ns3:t>
              </ns3:r>
            </ns3:den>
          </ns3:f>
          <ns3:r>
            <ns3:t>z</ns3:t>
          </ns3:r>
          <ns3:r>
            <ns3:t>​</ns3:t>
          </ns3:r>
          <ns3:d>
            <ns3:dPr>
              <ns3:begChr ns3:val="("/>
              <ns3:sepChr ns3:val=""/>
              <ns3:endChr ns3:val=")"/>
              <ns3:grow/>
            </ns3:dPr>
            <ns3:e>
              <ns3:r>
                <ns3:rPr>
                  <ns3:sty ns3:val="p"/>
                </ns3:rPr>
                <ns3:t>−</ns3:t>
              </ns3:r>
              <ns3:sSub>
                <ns3:e>
                  <ns3:r>
                    <ns3:t>H</ns3:t>
                  </ns3:r>
                </ns3:e>
                <ns3:sub>
                  <ns3:r>
                    <ns3:rPr>
                      <ns3:nor/>
                      <ns3:sty ns3:val="p"/>
                    </ns3:rPr>
                    <ns3:t>error</ns3:t>
                  </ns3:r>
                  <ns3:r>
                    <ns3:rPr>
                      <ns3:sty ns3:val="p"/>
                    </ns3:rPr>
                    <ns3:t>,</ns3:t>
                  </ns3:r>
                  <ns3:r>
                    <ns3:t>w</ns3:t>
                  </ns3:r>
                </ns3:sub>
              </ns3:sSub>
              <ns3:r>
                <ns3:rPr>
                  <ns3:sty ns3:val="p"/>
                </ns3:rPr>
                <ns3:t>(</ns3:t>
              </ns3:r>
              <ns3:r>
                <ns3:t>t</ns3:t>
              </ns3:r>
              <ns3:r>
                <ns3:rPr>
                  <ns3:sty ns3:val="p"/>
                </ns3:rPr>
                <ns3:t>)</ns3:t>
              </ns3:r>
            </ns3:e>
          </ns3:d>
          <ns3:r>
            <ns3:rPr>
              <ns3:sty ns3:val="p"/>
            </ns3:rPr>
            <ns3:t>+</ns3:t>
          </ns3:r>
          <ns3:f>
            <ns3:fPr>
              <ns3:type ns3:val="bar"/>
            </ns3:fPr>
            <ns3:num>
              <ns3:r>
                <ns3:t>1</ns3:t>
              </ns3:r>
            </ns3:num>
            <ns3:den>
              <ns3:r>
                <ns3:t>2</ns3:t>
              </ns3:r>
            </ns3:den>
          </ns3:f>
          <ns3:r>
            <ns3:t>z</ns3:t>
          </ns3:r>
          <ns3:r>
            <ns3:t>​</ns3:t>
          </ns3:r>
          <ns3:d>
            <ns3:dPr>
              <ns3:begChr ns3:val="("/>
              <ns3:sepChr ns3:val=""/>
              <ns3:endChr ns3:val=")"/>
              <ns3:grow/>
            </ns3:dPr>
            <ns3:e>
              <ns3:r>
                <ns3:rPr>
                  <ns3:sty ns3:val="p"/>
                </ns3:rPr>
                <ns3:t>−</ns3:t>
              </ns3:r>
              <ns3:r>
                <ns3:t>C</ns3:t>
              </ns3:r>
              <ns3:sSub>
                <ns3:e>
                  <ns3:r>
                    <ns3:t>V</ns3:t>
                  </ns3:r>
                </ns3:e>
                <ns3:sub>
                  <ns3:r>
                    <ns3:rPr>
                      <ns3:nor/>
                      <ns3:sty ns3:val="p"/>
                    </ns3:rPr>
                    <ns3:t>RT</ns3:t>
                  </ns3:r>
                  <ns3:r>
                    <ns3:rPr>
                      <ns3:sty ns3:val="p"/>
                    </ns3:rPr>
                    <ns3:t>,</ns3:t>
                  </ns3:r>
                  <ns3:r>
                    <ns3:t>w</ns3:t>
                  </ns3:r>
                </ns3:sub>
              </ns3:sSub>
              <ns3:r>
                <ns3:rPr>
                  <ns3:sty ns3:val="p"/>
                </ns3:rPr>
                <ns3:t>(</ns3:t>
              </ns3:r>
              <ns3:r>
                <ns3:t>t</ns3:t>
              </ns3:r>
              <ns3:r>
                <ns3:rPr>
                  <ns3:sty ns3:val="p"/>
                </ns3:rPr>
                <ns3:t>)</ns3:t>
              </ns3:r>
            </ns3:e>
          </ns3:d>
        </ns3:oMath>
      </ns3:oMathPara>
    </w:p>
    <w:p>
      <w:pPr>
        <w:pStyle w:val="FirstParagraph"/>
      </w:pPr>
      <w:r>
        <w:t xml:space="preserve">where</w:t>
      </w:r>
      <w:r>
        <w:t xml:space="preserve"> </w:t>
      </w:r>
      <ns3:oMath>
        <ns3:sSub>
          <ns3:e>
            <ns3:r>
              <ns3:t>H</ns3:t>
            </ns3:r>
          </ns3:e>
          <ns3:sub>
            <ns3:r>
              <ns3:rPr>
                <ns3:nor/>
                <ns3:sty ns3:val="p"/>
              </ns3:rPr>
              <ns3:t>error</ns3:t>
            </ns3:r>
            <ns3:r>
              <ns3:rPr>
                <ns3:sty ns3:val="p"/>
              </ns3:rPr>
              <ns3:t>,</ns3:t>
            </ns3:r>
            <ns3:r>
              <ns3:t>w</ns3:t>
            </ns3:r>
          </ns3:sub>
        </ns3:sSub>
      </ns3:oMath>
      <w:r>
        <w:t xml:space="preserve"> </w:t>
      </w:r>
      <w:r>
        <w:t xml:space="preserve">is windowed response-error entropy and</w:t>
      </w:r>
      <w:r>
        <w:t xml:space="preserve"> </w:t>
      </w:r>
      <ns3:oMath>
        <ns3:r>
          <ns3:t>C</ns3:t>
        </ns3:r>
        <ns3:sSub>
          <ns3:e>
            <ns3:r>
              <ns3:t>V</ns3:t>
            </ns3:r>
          </ns3:e>
          <ns3:sub>
            <ns3:r>
              <ns3:rPr>
                <ns3:nor/>
                <ns3:sty ns3:val="p"/>
              </ns3:rPr>
              <ns3:t>RT</ns3:t>
            </ns3:r>
            <ns3:r>
              <ns3:rPr>
                <ns3:sty ns3:val="p"/>
              </ns3:rPr>
              <ns3:t>,</ns3:t>
            </ns3:r>
            <ns3:r>
              <ns3:t>w</ns3:t>
            </ns3:r>
          </ns3:sub>
        </ns3:sSub>
      </ns3:oMath>
      <w:r>
        <w:t xml:space="preserve"> </w:t>
      </w:r>
      <w:r>
        <w:t xml:space="preserve">is windowed reaction-time coefficient of variation. Higher</w:t>
      </w:r>
      <w:r>
        <w:t xml:space="preserve"> </w:t>
      </w:r>
      <ns3:oMath>
        <ns3:sSup>
          <ns3:e>
            <ns3:r>
              <ns3:t>q</ns3:t>
            </ns3:r>
          </ns3:e>
          <ns3:sup>
            <ns3:r>
              <ns3:rPr>
                <ns3:sty ns3:val="p"/>
              </ns3:rPr>
              <ns3:t>*</ns3:t>
            </ns3:r>
          </ns3:sup>
        </ns3:sSup>
      </ns3:oMath>
      <w:r>
        <w:t xml:space="preserve"> </w:t>
      </w:r>
      <w:r>
        <w:t xml:space="preserve">indicates greater local task-state stability.</w:t>
      </w:r>
    </w:p>
    <w:p>
      <w:pPr>
        <w:pStyle w:val="BodyText"/>
      </w:pPr>
      <w:r>
        <w:t xml:space="preserve">Interpretively,</w:t>
      </w:r>
      <w:r>
        <w:t xml:space="preserve"> </w:t>
      </w:r>
      <ns3:oMath>
        <ns3:sSup>
          <ns3:e>
            <ns3:r>
              <ns3:t>q</ns3:t>
            </ns3:r>
          </ns3:e>
          <ns3:sup>
            <ns3:r>
              <ns3:rPr>
                <ns3:sty ns3:val="p"/>
              </ns3:rPr>
              <ns3:t>*</ns3:t>
            </ns3:r>
          </ns3:sup>
        </ns3:sSup>
      </ns3:oMath>
      <w:r>
        <w:t xml:space="preserve"> </w:t>
      </w:r>
      <w:r>
        <w:t xml:space="preserve">captures a minimal</w:t>
      </w:r>
      <w:r>
        <w:t xml:space="preserve"> </w:t>
      </w:r>
      <w:r>
        <w:t xml:space="preserve">“order/stability”</w:t>
      </w:r>
      <w:r>
        <w:t xml:space="preserve"> </w:t>
      </w:r>
      <w:r>
        <w:t xml:space="preserve">surrogate: stable control states should show lower local error unpredictability and lower RT dispersion. To separate this from generic arousal/fatigue accounts, phase-1 models include baseline arousal and block-order covariates; if</w:t>
      </w:r>
      <w:r>
        <w:t xml:space="preserve"> </w:t>
      </w:r>
      <ns3:oMath>
        <ns3:sSup>
          <ns3:e>
            <ns3:r>
              <ns3:t>q</ns3:t>
            </ns3:r>
          </ns3:e>
          <ns3:sup>
            <ns3:r>
              <ns3:rPr>
                <ns3:sty ns3:val="p"/>
              </ns3:rPr>
              <ns3:t>*</ns3:t>
            </ns3:r>
          </ns3:sup>
        </ns3:sSup>
      </ns3:oMath>
      <w:r>
        <w:t xml:space="preserve"> </w:t>
      </w:r>
      <w:r>
        <w:t xml:space="preserve">variance is explained by arousal/fatigue alone while budget terms contribute no directional signal, the Eq. (5) interpretation is weakened. The confirmatory phase-1 test for Eq. (5) is directional and statistical: whether</w:t>
      </w:r>
      <w:r>
        <w:t xml:space="preserve"> </w:t>
      </w:r>
      <ns3:oMath>
        <ns3:sSub>
          <ns3:e>
            <ns3:acc>
              <ns3:accPr>
                <ns3:chr ns3:val="̃"/>
              </ns3:accPr>
              <ns3:e>
                <ns3:r>
                  <ns3:t>P</ns3:t>
                </ns3:r>
              </ns3:e>
            </ns3:acc>
          </ns3:e>
          <ns3:sub>
            <ns3:r>
              <ns3:rPr>
                <ns3:nor/>
                <ns3:sty ns3:val="p"/>
              </ns3:rPr>
              <ns3:t>sel</ns3:t>
            </ns3:r>
          </ns3:sub>
        </ns3:sSub>
      </ns3:oMath>
      <w:r>
        <w:t xml:space="preserve">,</w:t>
      </w:r>
      <w:r>
        <w:t xml:space="preserve"> </w:t>
      </w:r>
      <ns3:oMath>
        <ns3:sSub>
          <ns3:e>
            <ns3:acc>
              <ns3:accPr>
                <ns3:chr ns3:val="̃"/>
              </ns3:accPr>
              <ns3:e>
                <ns3:r>
                  <ns3:rPr>
                    <ns3:sty ns3:val="p"/>
                  </ns3:rPr>
                  <ns3:t>Ψ</ns3:t>
                </ns3:r>
              </ns3:e>
            </ns3:acc>
          </ns3:e>
          <ns3:sub>
            <ns3:r>
              <ns3:t>f</ns3:t>
            </ns3:r>
          </ns3:sub>
        </ns3:sSub>
      </ns3:oMath>
      <w:r>
        <w:t xml:space="preserve">, and</w:t>
      </w:r>
      <w:r>
        <w:t xml:space="preserve"> </w:t>
      </w:r>
      <ns3:oMath>
        <ns3:sSub>
          <ns3:e>
            <ns3:acc>
              <ns3:accPr>
                <ns3:chr ns3:val="̃"/>
              </ns3:accPr>
              <ns3:e>
                <ns3:r>
                  <ns3:t>S</ns3:t>
                </ns3:r>
              </ns3:e>
            </ns3:acc>
          </ns3:e>
          <ns3:sub>
            <ns3:r>
              <ns3:rPr>
                <ns3:nor/>
                <ns3:sty ns3:val="p"/>
              </ns3:rPr>
              <ns3:t>noise</ns3:t>
            </ns3:r>
          </ns3:sub>
        </ns3:sSub>
      </ns3:oMath>
      <w:r>
        <w:t xml:space="preserve"> </w:t>
      </w:r>
      <w:r>
        <w:t xml:space="preserve">jointly predict</w:t>
      </w:r>
      <w:r>
        <w:t xml:space="preserve"> </w:t>
      </w:r>
      <ns3:oMath>
        <ns3:r>
          <ns3:t>d</ns3:t>
        </ns3:r>
        <ns3:sSup>
          <ns3:e>
            <ns3:r>
              <ns3:t>q</ns3:t>
            </ns3:r>
          </ns3:e>
          <ns3:sup>
            <ns3:r>
              <ns3:rPr>
                <ns3:sty ns3:val="p"/>
              </ns3:rPr>
              <ns3:t>*</ns3:t>
            </ns3:r>
          </ns3:sup>
        </ns3:sSup>
        <ns3:r>
          <ns3:rPr>
            <ns3:sty ns3:val="p"/>
          </ns3:rPr>
          <ns3:t>/</ns3:t>
        </ns3:r>
        <ns3:r>
          <ns3:t>d</ns3:t>
        </ns3:r>
        <ns3:r>
          <ns3:t>t</ns3:t>
        </ns3:r>
      </ns3:oMath>
      <w:r>
        <w:t xml:space="preserve"> </w:t>
      </w:r>
      <w:r>
        <w:t xml:space="preserve">with expected signs, rather than whether Eq. (5) is a literal thermodynamic identity.</w:t>
      </w:r>
    </w:p>
    <w:p>
      <w:pPr>
        <w:pStyle w:val="BodyText"/>
      </w:pPr>
      <w:r>
        <w:t xml:space="preserve">For changepoint testing, we retain the theoretical ratio in Equation (7a) and additionally define a phase-1 robust approximation:</w:t>
      </w:r>
    </w:p>
    <w:p>
      <w:pPr>
        <w:pStyle w:val="BodyText"/>
      </w:pPr>
      <ns3:oMathPara>
        <ns3:oMathParaPr>
          <ns3:jc ns3:val="center"/>
        </ns3:oMathParaPr>
        <ns3:oMath>
          <ns3:sSup>
            <ns3:e>
              <ns3:r>
                <ns3:t>ρ</ns3:t>
              </ns3:r>
            </ns3:e>
            <ns3:sup>
              <ns3:r>
                <ns3:rPr>
                  <ns3:sty ns3:val="p"/>
                </ns3:rPr>
                <ns3:t>*</ns3:t>
              </ns3:r>
            </ns3:sup>
          </ns3:sSup>
          <ns3:r>
            <ns3:rPr>
              <ns3:sty ns3:val="p"/>
            </ns3:rPr>
            <ns3:t>(</ns3:t>
          </ns3:r>
          <ns3:r>
            <ns3:t>t</ns3:t>
          </ns3:r>
          <ns3:r>
            <ns3:rPr>
              <ns3:sty ns3:val="p"/>
            </ns3:rPr>
            <ns3:t>)</ns3:t>
          </ns3:r>
          <ns3:r>
            <ns3:rPr>
              <ns3:sty ns3:val="p"/>
            </ns3:rPr>
            <ns3:t>=</ns3:t>
          </ns3:r>
          <ns3:r>
            <ns3:t>z</ns3:t>
          </ns3:r>
          <ns3:r>
            <ns3:t>​</ns3:t>
          </ns3:r>
          <ns3:d>
            <ns3:dPr>
              <ns3:begChr ns3:val="("/>
              <ns3:sepChr ns3:val=""/>
              <ns3:endChr ns3:val=")"/>
              <ns3:grow/>
            </ns3:dPr>
            <ns3:e>
              <ns3:sSubSup>
                <ns3:e>
                  <ns3:r>
                    <ns3:rPr>
                      <ns3:sty ns3:val="p"/>
                    </ns3:rPr>
                    <ns3:t>Ψ</ns3:t>
                  </ns3:r>
                </ns3:e>
                <ns3:sub>
                  <ns3:r>
                    <ns3:t>f</ns3:t>
                  </ns3:r>
                </ns3:sub>
                <ns3:sup>
                  <ns3:r>
                    <ns3:rPr>
                      <ns3:nor/>
                      <ns3:sty ns3:val="p"/>
                    </ns3:rPr>
                    <ns3:t>baseline, latent</ns3:t>
                  </ns3:r>
                </ns3:sup>
              </ns3:sSubSup>
              <ns3:r>
                <ns3:rPr>
                  <ns3:sty ns3:val="p"/>
                </ns3:rPr>
                <ns3:t>(</ns3:t>
              </ns3:r>
              <ns3:r>
                <ns3:t>t</ns3:t>
              </ns3:r>
              <ns3:r>
                <ns3:rPr>
                  <ns3:sty ns3:val="p"/>
                </ns3:rPr>
                <ns3:t>)</ns3:t>
              </ns3:r>
            </ns3:e>
          </ns3:d>
          <ns3:r>
            <ns3:rPr>
              <ns3:sty ns3:val="p"/>
            </ns3:rPr>
            <ns3:t>−</ns3:t>
          </ns3:r>
          <ns3:r>
            <ns3:t>z</ns3:t>
          </ns3:r>
          <ns3:r>
            <ns3:t>​</ns3:t>
          </ns3:r>
          <ns3:d>
            <ns3:dPr>
              <ns3:begChr ns3:val="("/>
              <ns3:sepChr ns3:val=""/>
              <ns3:endChr ns3:val=")"/>
              <ns3:grow/>
            </ns3:dPr>
            <ns3:e>
              <ns3:sSubSup>
                <ns3:e>
                  <ns3:r>
                    <ns3:t>P</ns3:t>
                  </ns3:r>
                </ns3:e>
                <ns3:sub>
                  <ns3:r>
                    <ns3:rPr>
                      <ns3:nor/>
                      <ns3:sty ns3:val="p"/>
                    </ns3:rPr>
                    <ns3:t>sel</ns3:t>
                  </ns3:r>
                </ns3:sub>
                <ns3:sup>
                  <ns3:r>
                    <ns3:rPr>
                      <ns3:nor/>
                      <ns3:sty ns3:val="p"/>
                    </ns3:rPr>
                    <ns3:t>proxy</ns3:t>
                  </ns3:r>
                </ns3:sup>
              </ns3:sSubSup>
              <ns3:r>
                <ns3:rPr>
                  <ns3:sty ns3:val="p"/>
                </ns3:rPr>
                <ns3:t>(</ns3:t>
              </ns3:r>
              <ns3:r>
                <ns3:t>t</ns3:t>
              </ns3:r>
              <ns3:r>
                <ns3:rPr>
                  <ns3:sty ns3:val="p"/>
                </ns3:rPr>
                <ns3:t>)</ns3:t>
              </ns3:r>
            </ns3:e>
          </ns3:d>
        </ns3:oMath>
      </ns3:oMathPara>
    </w:p>
    <w:p>
      <w:pPr>
        <w:pStyle w:val="FirstParagraph"/>
      </w:pPr>
      <w:r>
        <w:t xml:space="preserve">which avoids instability of ratio estimators in low-denominator regions. Inference targets are therefore statistical critical points (</w:t>
      </w:r>
      <ns3:oMath>
        <ns3:sSub>
          <ns3:e>
            <ns3:r>
              <ns3:t>ρ</ns3:t>
            </ns3:r>
          </ns3:e>
          <ns3:sub>
            <ns3:r>
              <ns3:t>c</ns3:t>
            </ns3:r>
          </ns3:sub>
        </ns3:sSub>
      </ns3:oMath>
      <w:r>
        <w:t xml:space="preserve"> </w:t>
      </w:r>
      <w:r>
        <w:t xml:space="preserve">or</w:t>
      </w:r>
      <w:r>
        <w:t xml:space="preserve"> </w:t>
      </w:r>
      <ns3:oMath>
        <ns3:sSubSup>
          <ns3:e>
            <ns3:r>
              <ns3:t>ρ</ns3:t>
            </ns3:r>
          </ns3:e>
          <ns3:sub>
            <ns3:r>
              <ns3:t>c</ns3:t>
            </ns3:r>
          </ns3:sub>
          <ns3:sup>
            <ns3:r>
              <ns3:rPr>
                <ns3:sty ns3:val="p"/>
              </ns3:rPr>
              <ns3:t>*</ns3:t>
            </ns3:r>
          </ns3:sup>
        </ns3:sSubSup>
      </ns3:oMath>
      <w:r>
        <w:t xml:space="preserve">) rather than claims of a universal thermodynamic constant.</w:t>
      </w:r>
    </w:p>
    <w:p>
      <w:pPr>
        <w:pStyle w:val="BodyText"/>
      </w:pPr>
      <w:r>
        <w:rPr>
          <w:b/>
          <w:bCs/>
        </w:rPr>
        <w:t xml:space="preserve">Figure 1.</w:t>
      </w:r>
      <w:r>
        <w:t xml:space="preserve"> </w:t>
      </w:r>
      <w:r>
        <w:rPr>
          <w:i/>
          <w:iCs/>
        </w:rPr>
        <w:t xml:space="preserve">Selective Reality Theory architecture and selection power budget.</w:t>
      </w:r>
      <w:r>
        <w:t xml:space="preserve"> </w:t>
      </w:r>
      <w:r>
        <w:t xml:space="preserve">(A) Three-domain structure: latent domain (</w:t>
      </w:r>
      <ns3:oMath>
        <ns3:sSub>
          <ns3:e>
            <ns3:r>
              <ns3:t>L</ns3:t>
            </ns3:r>
          </ns3:e>
          <ns3:sub>
            <ns3:r>
              <ns3:t>0</ns3:t>
            </ns3:r>
          </ns3:sub>
        </ns3:sSub>
      </ns3:oMath>
      <w:r>
        <w:t xml:space="preserve">, possibility space), manifest domain (</w:t>
      </w:r>
      <ns3:oMath>
        <ns3:sSub>
          <ns3:e>
            <ns3:r>
              <ns3:t>L</ns3:t>
            </ns3:r>
          </ns3:e>
          <ns3:sub>
            <ns3:r>
              <ns3:t>1</ns3:t>
            </ns3:r>
          </ns3:sub>
        </ns3:sSub>
      </ns3:oMath>
      <w:r>
        <w:t xml:space="preserve">, selected reality), and convergence domain (</w:t>
      </w:r>
      <ns3:oMath>
        <ns3:sSub>
          <ns3:e>
            <ns3:r>
              <ns3:t>L</ns3:t>
            </ns3:r>
          </ns3:e>
          <ns3:sub>
            <ns3:r>
              <ns3:t>2</ns3:t>
            </ns3:r>
          </ns3:sub>
        </ns3:sSub>
      </ns3:oMath>
      <w:r>
        <w:t xml:space="preserve">, stabilized constraints), linked by the selection operator</w:t>
      </w:r>
      <w:r>
        <w:t xml:space="preserve"> </w:t>
      </w:r>
      <ns3:oMath>
        <ns3:sSub>
          <ns3:e>
            <ns3:acc>
              <ns3:accPr>
                <ns3:chr ns3:val="̂"/>
              </ns3:accPr>
              <ns3:e>
                <ns3:r>
                  <ns3:t>G</ns3:t>
                </ns3:r>
              </ns3:e>
            </ns3:acc>
          </ns3:e>
          <ns3:sub>
            <ns3:r>
              <ns3:t>θ</ns3:t>
            </ns3:r>
          </ns3:sub>
        </ns3:sSub>
      </ns3:oMath>
      <w:r>
        <w:t xml:space="preserve">. Dashed feedback arrow indicates</w:t>
      </w:r>
      <w:r>
        <w:t xml:space="preserve"> </w:t>
      </w:r>
      <ns3:oMath>
        <ns3:sSub>
          <ns3:e>
            <ns3:r>
              <ns3:t>L</ns3:t>
            </ns3:r>
          </ns3:e>
          <ns3:sub>
            <ns3:r>
              <ns3:t>2</ns3:t>
            </ns3:r>
          </ns3:sub>
        </ns3:sSub>
      </ns3:oMath>
      <w:r>
        <w:t xml:space="preserve">’s constraint on future selection. (B) Selection-budget diagram illustrating how the</w:t>
      </w:r>
      <w:r>
        <w:t xml:space="preserve"> </w:t>
      </w:r>
      <w:r>
        <w:t xml:space="preserve">“knowing–doing gap”</w:t>
      </w:r>
      <w:r>
        <w:t xml:space="preserve"> </w:t>
      </w:r>
      <w:r>
        <w:t xml:space="preserve">emerges when the red bar (</w:t>
      </w:r>
      <ns3:oMath>
        <ns3:r>
          <ns3:t>β</ns3:t>
        </ns3:r>
        <ns3:r>
          <ns3:rPr>
            <ns3:sty ns3:val="p"/>
          </ns3:rPr>
          <ns3:t>⋅</ns3:t>
        </ns3:r>
        <ns3:sSub>
          <ns3:e>
            <ns3:r>
              <ns3:rPr>
                <ns3:sty ns3:val="p"/>
              </ns3:rPr>
              <ns3:t>Ψ</ns3:t>
            </ns3:r>
          </ns3:e>
          <ns3:sub>
            <ns3:r>
              <ns3:t>f</ns3:t>
            </ns3:r>
          </ns3:sub>
        </ns3:sSub>
      </ns3:oMath>
      <w:r>
        <w:t xml:space="preserve">) plus orange bar (</w:t>
      </w:r>
      <ns3:oMath>
        <ns3:r>
          <ns3:t>γ</ns3:t>
        </ns3:r>
        <ns3:r>
          <ns3:rPr>
            <ns3:sty ns3:val="p"/>
          </ns3:rPr>
          <ns3:t>⋅</ns3:t>
        </ns3:r>
        <ns3:sSub>
          <ns3:e>
            <ns3:r>
              <ns3:t>S</ns3:t>
            </ns3:r>
          </ns3:e>
          <ns3:sub>
            <ns3:r>
              <ns3:rPr>
                <ns3:nor/>
                <ns3:sty ns3:val="p"/>
              </ns3:rPr>
              <ns3:t>noise</ns3:t>
            </ns3:r>
          </ns3:sub>
        </ns3:sSub>
      </ns3:oMath>
      <w:r>
        <w:t xml:space="preserve">) exceeds the green bar (</w:t>
      </w:r>
      <ns3:oMath>
        <ns3:r>
          <ns3:t>α</ns3:t>
        </ns3:r>
        <ns3:r>
          <ns3:rPr>
            <ns3:sty ns3:val="p"/>
          </ns3:rPr>
          <ns3:t>⋅</ns3:t>
        </ns3:r>
        <ns3:sSub>
          <ns3:e>
            <ns3:r>
              <ns3:t>P</ns3:t>
            </ns3:r>
          </ns3:e>
          <ns3:sub>
            <ns3:r>
              <ns3:rPr>
                <ns3:nor/>
                <ns3:sty ns3:val="p"/>
              </ns3:rPr>
              <ns3:t>sel</ns3:t>
            </ns3:r>
          </ns3:sub>
        </ns3:sSub>
      </ns3:oMath>
      <w:r>
        <w:t xml:space="preserve">), progressing from healthy function through stressed operation to clinical breakdown. Final artwork should keep these exact symbol labels for one-to-one correspondence with Equation (5).</w:t>
      </w:r>
    </w:p>
    <w:p>
      <w:pPr>
        <w:pStyle w:val="CaptionedFigure"/>
      </w:pPr>
      <w:r>
        <w:drawing>
          <ns4:inline>
            <ns4:extent cx="5943600" cy="6712811"/>
            <ns4:effectExtent b="0" l="0" r="0" t="0"/>
            <ns4:docPr descr="Figure 1" title="" id="20" name="Picture"/>
            <ns5:graphic>
              <ns5:graphicData uri="http://schemas.openxmlformats.org/drawingml/2006/picture">
                <ns6:pic>
                  <ns6:nvPicPr>
                    <ns6:cNvPr descr="figures/fig1_srt_architecture.png" id="21" name="Picture"/>
                    <ns6:cNvPicPr>
                      <ns5:picLocks noChangeArrowheads="1" noChangeAspect="1"/>
                    </ns6:cNvPicPr>
                  </ns6:nvPicPr>
                  <ns6:blipFill>
                    <ns5:blip r:embed="rId19"/>
                    <ns5:stretch>
                      <ns5:fillRect/>
                    </ns5:stretch>
                  </ns6:blipFill>
                  <ns6:spPr bwMode="auto">
                    <ns5:xfrm>
                      <ns5:off x="0" y="0"/>
                      <ns5:ext cx="5943600" cy="6712811"/>
                    </ns5:xfrm>
                    <ns5:prstGeom prst="rect">
                      <ns5:avLst/>
                    </ns5:prstGeom>
                    <ns5:noFill/>
                    <ns5:ln w="9525">
                      <ns5:noFill/>
                      <ns5:headEnd/>
                      <ns5:tailEnd/>
                    </ns5:ln>
                  </ns6:spPr>
                </ns6:pic>
              </ns5:graphicData>
            </ns5:graphic>
          </ns4:inline>
        </w:drawing>
      </w:r>
    </w:p>
    <w:p>
      <w:pPr>
        <w:pStyle w:val="ImageCaption"/>
      </w:pPr>
      <w:r>
        <w:t xml:space="preserve">Figure 1</w:t>
      </w:r>
    </w:p>
    <w:p>
      <w:r>
        <w:pict>
          <ns1:rect style="width:0;height:1.5pt" ns2:hralign="center" ns2:hrstd="t" ns2:hr="t"/>
        </w:pict>
      </w:r>
    </w:p>
    <w:bookmarkEnd w:id="22"/>
    <w:bookmarkEnd w:id="23"/>
    <w:bookmarkStart w:id="33" w:name="X8ace98159aae841a718df882a90b4a1e94ed563"/>
    <w:p>
      <w:pPr>
        <w:pStyle w:val="Heading2"/>
      </w:pPr>
      <w:r>
        <w:t xml:space="preserve">3. Operationalization: Four Proxy Classes for</w:t>
      </w:r>
      <w:r>
        <w:t xml:space="preserve"> </w:t>
      </w:r>
      <ns3:oMath>
        <ns3:sSub>
          <ns3:e>
            <ns3:r>
              <ns3:rPr>
                <ns3:sty ns3:val="p"/>
              </ns3:rPr>
              <ns3:t>Ψ</ns3:t>
            </ns3:r>
          </ns3:e>
          <ns3:sub>
            <ns3:r>
              <ns3:t>f</ns3:t>
            </ns3:r>
          </ns3:sub>
        </ns3:sSub>
      </ns3:oMath>
    </w:p>
    <w:p>
      <w:pPr>
        <w:pStyle w:val="FirstParagraph"/>
      </w:pPr>
      <w:r>
        <w:t xml:space="preserve">A theoretical construct is scientifically useful only to the extent that it can be measured. We now derive four classes of proxy measures for</w:t>
      </w:r>
      <w:r>
        <w:t xml:space="preserve"> </w:t>
      </w:r>
      <ns3:oMath>
        <ns3:sSub>
          <ns3:e>
            <ns3:r>
              <ns3:rPr>
                <ns3:sty ns3:val="p"/>
              </ns3:rPr>
              <ns3:t>Ψ</ns3:t>
            </ns3:r>
          </ns3:e>
          <ns3:sub>
            <ns3:r>
              <ns3:t>f</ns3:t>
            </ns3:r>
          </ns3:sub>
        </ns3:sSub>
      </ns3:oMath>
      <w:r>
        <w:t xml:space="preserve">, each grounded in established measurement paradigms but unified under a common latent variable interpretation. The central claim of this section is that</w:t>
      </w:r>
      <w:r>
        <w:t xml:space="preserve"> </w:t>
      </w:r>
      <ns3:oMath>
        <ns3:sSub>
          <ns3:e>
            <ns3:r>
              <ns3:rPr>
                <ns3:sty ns3:val="p"/>
              </ns3:rPr>
              <ns3:t>Ψ</ns3:t>
            </ns3:r>
          </ns3:e>
          <ns3:sub>
            <ns3:r>
              <ns3:t>f</ns3:t>
            </ns3:r>
          </ns3:sub>
        </ns3:sSub>
      </ns3:oMath>
      <w:r>
        <w:t xml:space="preserve"> </w:t>
      </w:r>
      <w:r>
        <w:t xml:space="preserve">is not reducible to any single proxy but manifests as a correlated pattern across behavioral, physiological, neural, and linguistic indicators.</w:t>
      </w:r>
    </w:p>
    <w:bookmarkStart w:id="24" w:name="validation-first-prioritization"/>
    <w:p>
      <w:pPr>
        <w:pStyle w:val="Heading3"/>
      </w:pPr>
      <w:r>
        <w:t xml:space="preserve">3.0 Validation-First Prioritization</w:t>
      </w:r>
    </w:p>
    <w:p>
      <w:pPr>
        <w:pStyle w:val="FirstParagraph"/>
      </w:pPr>
      <w:r>
        <w:t xml:space="preserve">To maximize empirical tractability, this manuscript adopts a staged validation strategy. The</w:t>
      </w:r>
      <w:r>
        <w:t xml:space="preserve"> </w:t>
      </w:r>
      <w:r>
        <w:rPr>
          <w:b/>
          <w:bCs/>
        </w:rPr>
        <w:t xml:space="preserve">core validation chain</w:t>
      </w:r>
      <w:r>
        <w:t xml:space="preserve"> </w:t>
      </w:r>
      <w:r>
        <w:t xml:space="preserve">uses low-cost modalities that can be replicated broadly: behavioral control-cost tasks, the linguistic modal-ratio probe (</w:t>
      </w:r>
      <ns3:oMath>
        <ns3:sSub>
          <ns3:e>
            <ns3:r>
              <ns3:t>μ</ns3:t>
            </ns3:r>
          </ns3:e>
          <ns3:sub>
            <ns3:r>
              <ns3:rPr>
                <ns3:nor/>
                <ns3:sty ns3:val="p"/>
              </ns3:rPr>
              <ns3:t>sem</ns3:t>
            </ns3:r>
          </ns3:sub>
        </ns3:sSub>
      </ns3:oMath>
      <w:r>
        <w:t xml:space="preserve">), and low-cost physiology (HRV and SCR; cortisol optional). High-cost markers (ROS assays, PCI, Fisher-geometry readouts, and theta-gamma coupling) are treated as</w:t>
      </w:r>
      <w:r>
        <w:t xml:space="preserve"> </w:t>
      </w:r>
      <w:r>
        <w:rPr>
          <w:b/>
          <w:bCs/>
        </w:rPr>
        <w:t xml:space="preserve">expansion layers</w:t>
      </w:r>
      <w:r>
        <w:t xml:space="preserve"> </w:t>
      </w:r>
      <w:r>
        <w:t xml:space="preserve">for later-phase adjudication rather than prerequisites for first-pass falsification. Failure of expansion markers to add value does not invalidate the core-chain model.</w:t>
      </w:r>
    </w:p>
    <w:p>
      <w:pPr>
        <w:pStyle w:val="BodyText"/>
      </w:pPr>
      <w:r>
        <w:t xml:space="preserve">For transparency, we explicitly map model terms to measurable proxies:</w:t>
      </w:r>
    </w:p>
    <w:p>
      <w:pPr>
        <w:pStyle w:val="BodyText"/>
      </w:pPr>
      <w:r>
        <w:rPr>
          <w:b/>
          <w:bCs/>
        </w:rPr>
        <w:t xml:space="preserve">Table 1. Equation-to-proxy mapping for core and expansion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 term</w:t>
            </w:r>
          </w:p>
        </w:tc>
        <w:tc>
          <w:tcPr/>
          <w:p>
            <w:pPr>
              <w:pStyle w:val="Compact"/>
            </w:pPr>
            <w:r>
              <w:t xml:space="preserve">Functional interpretation</w:t>
            </w:r>
          </w:p>
        </w:tc>
        <w:tc>
          <w:tcPr/>
          <w:p>
            <w:pPr>
              <w:pStyle w:val="Compact"/>
            </w:pPr>
            <w:r>
              <w:t xml:space="preserve">Core measurement mapping</w:t>
            </w:r>
          </w:p>
        </w:tc>
        <w:tc>
          <w:tcPr/>
          <w:p>
            <w:pPr>
              <w:pStyle w:val="Compact"/>
            </w:pPr>
            <w:r>
              <w:t xml:space="preserve">Expansion mapping</w:t>
            </w:r>
          </w:p>
        </w:tc>
      </w:tr>
      <w:tr>
        <w:tc>
          <w:tcPr/>
          <w:p>
            <w:pPr>
              <w:pStyle w:val="Compact"/>
            </w:pPr>
            <ns3:oMath>
              <ns3:sSub>
                <ns3:e>
                  <ns3:r>
                    <ns3:t>P</ns3:t>
                  </ns3:r>
                </ns3:e>
                <ns3:sub>
                  <ns3:r>
                    <ns3:rPr>
                      <ns3:nor/>
                      <ns3:sty ns3:val="p"/>
                    </ns3:rPr>
                    <ns3:t>sel</ns3:t>
                  </ns3:r>
                </ns3:sub>
              </ns3:sSub>
              <ns3:r>
                <ns3:rPr>
                  <ns3:sty ns3:val="p"/>
                </ns3:rPr>
                <ns3:t>(</ns3:t>
              </ns3:r>
              <ns3:r>
                <ns3:t>t</ns3:t>
              </ns3:r>
              <ns3:r>
                <ns3:rPr>
                  <ns3:sty ns3:val="p"/>
                </ns3:rPr>
                <ns3:t>)</ns3:t>
              </ns3:r>
            </ns3:oMath>
            <w:r>
              <w:t xml:space="preserve"> </w:t>
            </w:r>
            <w:r>
              <w:t xml:space="preserve">in Eq. (5)</w:t>
            </w:r>
          </w:p>
        </w:tc>
        <w:tc>
          <w:tcPr/>
          <w:p>
            <w:pPr>
              <w:pStyle w:val="Compact"/>
            </w:pPr>
            <w:r>
              <w:t xml:space="preserve">Available control budget</w:t>
            </w:r>
          </w:p>
        </w:tc>
        <w:tc>
          <w:tcPr/>
          <w:p>
            <w:pPr>
              <w:pStyle w:val="Compact"/>
            </w:pPr>
            <w:r>
              <w:t xml:space="preserve">HRV recovery slope, SCR recovery profile, diurnal cortisol slope</w:t>
            </w:r>
          </w:p>
        </w:tc>
        <w:tc>
          <w:tcPr/>
          <w:p>
            <w:pPr>
              <w:pStyle w:val="Compact"/>
            </w:pPr>
            <w:r>
              <w:t xml:space="preserve">PCI and network-level complexity indices</w:t>
            </w:r>
          </w:p>
        </w:tc>
      </w:tr>
      <w:tr>
        <w:tc>
          <w:tcPr/>
          <w:p>
            <w:pPr>
              <w:pStyle w:val="Compact"/>
            </w:pPr>
            <ns3:oMath>
              <ns3:sSub>
                <ns3:e>
                  <ns3:r>
                    <ns3:rPr>
                      <ns3:sty ns3:val="p"/>
                    </ns3:rPr>
                    <ns3:t>Ψ</ns3:t>
                  </ns3:r>
                </ns3:e>
                <ns3:sub>
                  <ns3:r>
                    <ns3:t>f</ns3:t>
                  </ns3:r>
                </ns3:sub>
              </ns3:sSub>
            </ns3:oMath>
            <w:r>
              <w:t xml:space="preserve"> </w:t>
            </w:r>
            <w:r>
              <w:t xml:space="preserve">in Eqs. (3a), (5), (7)</w:t>
            </w:r>
          </w:p>
        </w:tc>
        <w:tc>
          <w:tcPr/>
          <w:p>
            <w:pPr>
              <w:pStyle w:val="Compact"/>
            </w:pPr>
            <w:r>
              <w:t xml:space="preserve">Latent control cost</w:t>
            </w:r>
          </w:p>
        </w:tc>
        <w:tc>
          <w:tcPr/>
          <w:p>
            <w:pPr>
              <w:pStyle w:val="Compact"/>
            </w:pPr>
            <w:r>
              <w:t xml:space="preserve">Task-switch cost, Stroop interference, perseverative errors,</w:t>
            </w:r>
            <w:r>
              <w:t xml:space="preserve"> </w:t>
            </w:r>
            <ns3:oMath>
              <ns3:sSubSup>
                <ns3:e>
                  <ns3:r>
                    <ns3:t>μ</ns3:t>
                  </ns3:r>
                </ns3:e>
                <ns3:sub>
                  <ns3:r>
                    <ns3:rPr>
                      <ns3:nor/>
                      <ns3:sty ns3:val="p"/>
                    </ns3:rPr>
                    <ns3:t>sem</ns3:t>
                  </ns3:r>
                </ns3:sub>
                <ns3:sup>
                  <ns3:r>
                    <ns3:rPr>
                      <ns3:nor/>
                      <ns3:sty ns3:val="p"/>
                    </ns3:rPr>
                    <ns3:t>adj</ns3:t>
                  </ns3:r>
                </ns3:sup>
              </ns3:sSubSup>
            </ns3:oMath>
          </w:p>
        </w:tc>
        <w:tc>
          <w:tcPr/>
          <w:p>
            <w:pPr>
              <w:pStyle w:val="Compact"/>
            </w:pPr>
            <w:r>
              <w:t xml:space="preserve">ROS markers, Fisher-geometry metrics</w:t>
            </w:r>
          </w:p>
        </w:tc>
      </w:tr>
      <w:tr>
        <w:tc>
          <w:tcPr/>
          <w:p>
            <w:pPr>
              <w:pStyle w:val="Compact"/>
            </w:pPr>
            <ns3:oMath>
              <ns3:sSub>
                <ns3:e>
                  <ns3:r>
                    <ns3:t>S</ns3:t>
                  </ns3:r>
                </ns3:e>
                <ns3:sub>
                  <ns3:r>
                    <ns3:rPr>
                      <ns3:nor/>
                      <ns3:sty ns3:val="p"/>
                    </ns3:rPr>
                    <ns3:t>noise</ns3:t>
                  </ns3:r>
                </ns3:sub>
              </ns3:sSub>
            </ns3:oMath>
            <w:r>
              <w:t xml:space="preserve"> </w:t>
            </w:r>
            <w:r>
              <w:t xml:space="preserve">in Eq. (5)</w:t>
            </w:r>
          </w:p>
        </w:tc>
        <w:tc>
          <w:tcPr/>
          <w:p>
            <w:pPr>
              <w:pStyle w:val="Compact"/>
            </w:pPr>
            <w:r>
              <w:t xml:space="preserve">Environmental/task uncertainty load</w:t>
            </w:r>
          </w:p>
        </w:tc>
        <w:tc>
          <w:tcPr/>
          <w:p>
            <w:pPr>
              <w:pStyle w:val="Compact"/>
            </w:pPr>
            <w:r>
              <w:t xml:space="preserve">Conflict level manipulations, distractor entropy, prompt variability controls</w:t>
            </w:r>
          </w:p>
        </w:tc>
        <w:tc>
          <w:tcPr/>
          <w:p>
            <w:pPr>
              <w:pStyle w:val="Compact"/>
            </w:pPr>
            <w:r>
              <w:t xml:space="preserve">Ecological noise paradigms</w:t>
            </w:r>
          </w:p>
        </w:tc>
      </w:tr>
      <w:tr>
        <w:tc>
          <w:tcPr/>
          <w:p>
            <w:pPr>
              <w:pStyle w:val="Compact"/>
            </w:pPr>
            <ns3:oMath>
              <ns3:r>
                <ns3:t>q</ns3:t>
              </ns3:r>
              <ns3:r>
                <ns3:rPr>
                  <ns3:sty ns3:val="p"/>
                </ns3:rPr>
                <ns3:t>(</ns3:t>
              </ns3:r>
              <ns3:sSub>
                <ns3:e>
                  <ns3:r>
                    <ns3:t>L</ns3:t>
                  </ns3:r>
                </ns3:e>
                <ns3:sub>
                  <ns3:r>
                    <ns3:t>1</ns3:t>
                  </ns3:r>
                </ns3:sub>
              </ns3:sSub>
              <ns3:r>
                <ns3:rPr>
                  <ns3:sty ns3:val="p"/>
                </ns3:rPr>
                <ns3:t>)</ns3:t>
              </ns3:r>
            </ns3:oMath>
            <w:r>
              <w:t xml:space="preserve"> </w:t>
            </w:r>
            <w:r>
              <w:t xml:space="preserve">in Eq. (5)</w:t>
            </w:r>
          </w:p>
        </w:tc>
        <w:tc>
          <w:tcPr/>
          <w:p>
            <w:pPr>
              <w:pStyle w:val="Compact"/>
            </w:pPr>
            <w:r>
              <w:t xml:space="preserve">Task-state order/stability</w:t>
            </w:r>
          </w:p>
        </w:tc>
        <w:tc>
          <w:tcPr/>
          <w:p>
            <w:pPr>
              <w:pStyle w:val="Compact"/>
            </w:pPr>
            <ns3:oMath>
              <ns3:sSup>
                <ns3:e>
                  <ns3:r>
                    <ns3:t>q</ns3:t>
                  </ns3:r>
                </ns3:e>
                <ns3:sup>
                  <ns3:r>
                    <ns3:rPr>
                      <ns3:sty ns3:val="p"/>
                    </ns3:rPr>
                    <ns3:t>*</ns3:t>
                  </ns3:r>
                </ns3:sup>
              </ns3:sSup>
            </ns3:oMath>
            <w:r>
              <w:t xml:space="preserve"> </w:t>
            </w:r>
            <w:r>
              <w:t xml:space="preserve">from error entropy and RT variability (Eq. 5q)</w:t>
            </w:r>
          </w:p>
        </w:tc>
        <w:tc>
          <w:tcPr/>
          <w:p>
            <w:pPr>
              <w:pStyle w:val="Compact"/>
            </w:pPr>
            <w:r>
              <w:t xml:space="preserve">Compression-ratio or sequence-complexity alternatives</w:t>
            </w:r>
          </w:p>
        </w:tc>
      </w:tr>
      <w:tr>
        <w:tc>
          <w:tcPr/>
          <w:p>
            <w:pPr>
              <w:pStyle w:val="Compact"/>
            </w:pPr>
            <w:r>
              <w:t xml:space="preserve">Appraisal</w:t>
            </w:r>
            <ns3:oMath>
              <ns3:r>
                <ns3:rPr>
                  <ns3:sty ns3:val="p"/>
                </ns3:rPr>
                <ns3:t>(</ns3:t>
              </ns3:r>
              <ns3:r>
                <ns3:t>t</ns3:t>
              </ns3:r>
              <ns3:r>
                <ns3:rPr>
                  <ns3:sty ns3:val="p"/>
                </ns3:rPr>
                <ns3:t>)</ns3:t>
              </ns3:r>
            </ns3:oMath>
            <w:r>
              <w:t xml:space="preserve"> </w:t>
            </w:r>
            <w:r>
              <w:t xml:space="preserve">in Eq. (4)</w:t>
            </w:r>
          </w:p>
        </w:tc>
        <w:tc>
          <w:tcPr/>
          <w:p>
            <w:pPr>
              <w:pStyle w:val="Compact"/>
            </w:pPr>
            <w:r>
              <w:t xml:space="preserve">Contextual threat/challenge evaluation</w:t>
            </w:r>
          </w:p>
        </w:tc>
        <w:tc>
          <w:tcPr/>
          <w:p>
            <w:pPr>
              <w:pStyle w:val="Compact"/>
            </w:pPr>
            <w:r>
              <w:t xml:space="preserve">Trial/block-wise self-report rating (0-100 challenge/threat scale)</w:t>
            </w:r>
          </w:p>
        </w:tc>
        <w:tc>
          <w:tcPr/>
          <w:p>
            <w:pPr>
              <w:pStyle w:val="Compact"/>
            </w:pPr>
            <w:r>
              <w:t xml:space="preserve">Multi-item stress appraisal inventories</w:t>
            </w:r>
          </w:p>
        </w:tc>
      </w:tr>
      <w:tr>
        <w:tc>
          <w:tcPr/>
          <w:p>
            <w:pPr>
              <w:pStyle w:val="Compact"/>
            </w:pPr>
            <ns3:oMath>
              <ns3:r>
                <ns3:t>u</ns3:t>
              </ns3:r>
              <ns3:r>
                <ns3:rPr>
                  <ns3:sty ns3:val="p"/>
                </ns3:rPr>
                <ns3:t>(</ns3:t>
              </ns3:r>
              <ns3:r>
                <ns3:t>t</ns3:t>
              </ns3:r>
              <ns3:r>
                <ns3:rPr>
                  <ns3:sty ns3:val="p"/>
                </ns3:rPr>
                <ns3:t>)</ns3:t>
              </ns3:r>
            </ns3:oMath>
            <w:r>
              <w:t xml:space="preserve"> </w:t>
            </w:r>
            <w:r>
              <w:t xml:space="preserve">in Eq. (3c)</w:t>
            </w:r>
          </w:p>
        </w:tc>
        <w:tc>
          <w:tcPr/>
          <w:p>
            <w:pPr>
              <w:pStyle w:val="Compact"/>
            </w:pPr>
            <w:r>
              <w:t xml:space="preserve">Momentary control input effort</w:t>
            </w:r>
          </w:p>
        </w:tc>
        <w:tc>
          <w:tcPr/>
          <w:p>
            <w:pPr>
              <w:pStyle w:val="Compact"/>
            </w:pPr>
            <w:r>
              <w:t xml:space="preserve">Trial-wise inhibitory/control demand (e.g., incongruent Stroop, switch trials, rule override trials)</w:t>
            </w:r>
          </w:p>
        </w:tc>
        <w:tc>
          <w:tcPr/>
          <w:p>
            <w:pPr>
              <w:pStyle w:val="Compact"/>
            </w:pPr>
            <w:r>
              <w:t xml:space="preserve">Neural control-energy surrogates from EEG/TMS paradigms</w:t>
            </w:r>
          </w:p>
        </w:tc>
      </w:tr>
      <w:tr>
        <w:tc>
          <w:tcPr/>
          <w:p>
            <w:pPr>
              <w:pStyle w:val="Compact"/>
            </w:pPr>
            <ns3:oMath>
              <ns3:r>
                <ns3:t>ρ</ns3:t>
              </ns3:r>
            </ns3:oMath>
            <w:r>
              <w:t xml:space="preserve"> </w:t>
            </w:r>
            <w:r>
              <w:t xml:space="preserve">and</w:t>
            </w:r>
            <w:r>
              <w:t xml:space="preserve"> </w:t>
            </w:r>
            <ns3:oMath>
              <ns3:sSup>
                <ns3:e>
                  <ns3:r>
                    <ns3:t>ρ</ns3:t>
                  </ns3:r>
                </ns3:e>
                <ns3:sup>
                  <ns3:r>
                    <ns3:rPr>
                      <ns3:sty ns3:val="p"/>
                    </ns3:rPr>
                    <ns3:t>*</ns3:t>
                  </ns3:r>
                </ns3:sup>
              </ns3:sSup>
            </ns3:oMath>
            <w:r>
              <w:t xml:space="preserve"> </w:t>
            </w:r>
            <w:r>
              <w:t xml:space="preserve">in Eqs. (7a, 7c)</w:t>
            </w:r>
          </w:p>
        </w:tc>
        <w:tc>
          <w:tcPr/>
          <w:p>
            <w:pPr>
              <w:pStyle w:val="Compact"/>
            </w:pPr>
            <w:r>
              <w:t xml:space="preserve">Normalized friction load</w:t>
            </w:r>
          </w:p>
        </w:tc>
        <w:tc>
          <w:tcPr/>
          <w:p>
            <w:pPr>
              <w:pStyle w:val="Compact"/>
            </w:pPr>
            <w:r>
              <w:t xml:space="preserve">Primary:</w:t>
            </w:r>
            <w:r>
              <w:t xml:space="preserve"> </w:t>
            </w:r>
            <ns3:oMath>
              <ns3:sSup>
                <ns3:e>
                  <ns3:r>
                    <ns3:t>ρ</ns3:t>
                  </ns3:r>
                </ns3:e>
                <ns3:sup>
                  <ns3:r>
                    <ns3:rPr>
                      <ns3:sty ns3:val="p"/>
                    </ns3:rPr>
                    <ns3:t>*</ns3:t>
                  </ns3:r>
                </ns3:sup>
              </ns3:sSup>
            </ns3:oMath>
            <w:r>
              <w:t xml:space="preserve"> </w:t>
            </w:r>
            <w:r>
              <w:t xml:space="preserve">(score-based); sensitivity: ratio-based</w:t>
            </w:r>
            <w:r>
              <w:t xml:space="preserve"> </w:t>
            </w:r>
            <ns3:oMath>
              <ns3:r>
                <ns3:t>ρ</ns3:t>
              </ns3:r>
            </ns3:oMath>
          </w:p>
        </w:tc>
        <w:tc>
          <w:tcPr/>
          <w:p>
            <w:pPr>
              <w:pStyle w:val="Compact"/>
            </w:pPr>
            <w:r>
              <w:t xml:space="preserve">Cross-modal validation with neural/biochemical layers</w:t>
            </w:r>
          </w:p>
        </w:tc>
      </w:tr>
    </w:tbl>
    <w:bookmarkEnd w:id="24"/>
    <w:bookmarkStart w:id="25" w:name="behavioral-proxies"/>
    <w:p>
      <w:pPr>
        <w:pStyle w:val="Heading3"/>
      </w:pPr>
      <w:r>
        <w:t xml:space="preserve">3.1 Behavioral Proxies</w:t>
      </w:r>
    </w:p>
    <w:p>
      <w:pPr>
        <w:pStyle w:val="FirstParagraph"/>
      </w:pPr>
      <w:r>
        <w:rPr>
          <w:b/>
          <w:bCs/>
        </w:rPr>
        <w:t xml:space="preserve">Task-switching cost.</w:t>
      </w:r>
      <w:r>
        <w:t xml:space="preserve"> </w:t>
      </w:r>
      <w:r>
        <w:t xml:space="preserve">When an agent must reconfigure its selection operator to serve a new task rule, the reconfiguration incurs ontological friction proportional to the distance between the current and target</w:t>
      </w:r>
      <w:r>
        <w:t xml:space="preserve"> </w:t>
      </w:r>
      <ns3:oMath>
        <ns3:sSub>
          <ns3:e>
            <ns3:r>
              <ns3:t>L</ns3:t>
            </ns3:r>
          </ns3:e>
          <ns3:sub>
            <ns3:r>
              <ns3:t>1</ns3:t>
            </ns3:r>
          </ns3:sub>
        </ns3:sSub>
      </ns3:oMath>
      <w:r>
        <w:t xml:space="preserve"> </w:t>
      </w:r>
      <w:r>
        <w:t xml:space="preserve">configurations. The classical task-switching cost — the increase in reaction time and error rate on switch trials relative to repeat trials (Monsell, 2003; Kiesel et al., 2010) — directly indexes this reconfiguration friction. Computational accounts further decompose this cost into reconfiguration and interference-control components (Yeung and Monsell, 2003; Brown et al., 2007), supporting model-based estimation of behavioral friction. We predict that task-switching cost scales with</w:t>
      </w:r>
      <w:r>
        <w:t xml:space="preserve"> </w:t>
      </w:r>
      <ns3:oMath>
        <ns3:sSub>
          <ns3:e>
            <ns3:r>
              <ns3:rPr>
                <ns3:sty ns3:val="p"/>
              </ns3:rPr>
              <ns3:t>Ψ</ns3:t>
            </ns3:r>
          </ns3:e>
          <ns3:sub>
            <ns3:r>
              <ns3:t>f</ns3:t>
            </ns3:r>
          </ns3:sub>
        </ns3:sSub>
      </ns3:oMath>
      <w:r>
        <w:t xml:space="preserve"> </w:t>
      </w:r>
      <w:r>
        <w:t xml:space="preserve">across individuals and within individuals across conditions.</w:t>
      </w:r>
    </w:p>
    <w:p>
      <w:pPr>
        <w:pStyle w:val="BodyText"/>
      </w:pPr>
      <w:r>
        <w:rPr>
          <w:b/>
          <w:bCs/>
        </w:rPr>
        <w:t xml:space="preserve">Perseverative errors.</w:t>
      </w:r>
      <w:r>
        <w:t xml:space="preserve"> </w:t>
      </w:r>
      <w:r>
        <w:t xml:space="preserve">In the Wisconsin Card Sorting Test (WCST; Berg, 1948) and related paradigms, perseverative errors reflect the agent’s failure to abandon a high-friction configuration — the previous sorting rule has become deeply anchored (high</w:t>
      </w:r>
      <w:r>
        <w:t xml:space="preserve"> </w:t>
      </w:r>
      <ns3:oMath>
        <ns3:sSubSup>
          <ns3:e>
            <ns3:r>
              <ns3:rPr>
                <ns3:sty ns3:val="p"/>
              </ns3:rPr>
              <ns3:t>Ψ</ns3:t>
            </ns3:r>
          </ns3:e>
          <ns3:sub>
            <ns3:r>
              <ns3:t>f</ns3:t>
            </ns3:r>
          </ns3:sub>
          <ns3:sup>
            <ns3:r>
              <ns3:rPr>
                <ns3:nor/>
                <ns3:sty ns3:val="p"/>
              </ns3:rPr>
              <ns3:t>switch</ns3:t>
            </ns3:r>
          </ns3:sup>
        </ns3:sSubSup>
      </ns3:oMath>
      <w:r>
        <w:t xml:space="preserve">) and the system cannot pay the switching cost. The number of perseverative errors indexes the</w:t>
      </w:r>
      <w:r>
        <w:t xml:space="preserve"> </w:t>
      </w:r>
      <w:r>
        <w:rPr>
          <w:i/>
          <w:iCs/>
        </w:rPr>
        <w:t xml:space="preserve">viscosity</w:t>
      </w:r>
      <w:r>
        <w:t xml:space="preserve"> </w:t>
      </w:r>
      <ns3:oMath>
        <ns3:r>
          <ns3:t>η</ns3:t>
        </ns3:r>
      </ns3:oMath>
      <w:r>
        <w:t xml:space="preserve"> </w:t>
      </w:r>
      <w:r>
        <w:t xml:space="preserve">of the parameter space:</w:t>
      </w:r>
      <w:r>
        <w:t xml:space="preserve"> </w:t>
      </w:r>
      <ns3:oMath>
        <ns3:r>
          <ns3:t>η</ns3:t>
        </ns3:r>
        <ns3:r>
          <ns3:rPr>
            <ns3:sty ns3:val="p"/>
          </ns3:rPr>
          <ns3:t>∝</ns3:t>
        </ns3:r>
        <ns3:r>
          <ns3:rPr>
            <ns3:sty ns3:val="p"/>
          </ns3:rPr>
          <ns3:t>∂</ns3:t>
        </ns3:r>
        <ns3:sSub>
          <ns3:e>
            <ns3:r>
              <ns3:rPr>
                <ns3:sty ns3:val="p"/>
              </ns3:rPr>
              <ns3:t>Ψ</ns3:t>
            </ns3:r>
          </ns3:e>
          <ns3:sub>
            <ns3:r>
              <ns3:t>f</ns3:t>
            </ns3:r>
          </ns3:sub>
        </ns3:sSub>
        <ns3:r>
          <ns3:rPr>
            <ns3:sty ns3:val="p"/>
          </ns3:rPr>
          <ns3:t>/</ns3:t>
        </ns3:r>
        <ns3:r>
          <ns3:rPr>
            <ns3:sty ns3:val="p"/>
          </ns3:rPr>
          <ns3:t>∂</ns3:t>
        </ns3:r>
        <ns3:r>
          <ns3:t>θ</ns3:t>
        </ns3:r>
      </ns3:oMath>
      <w:r>
        <w:t xml:space="preserve">.</w:t>
      </w:r>
    </w:p>
    <w:p>
      <w:pPr>
        <w:pStyle w:val="BodyText"/>
      </w:pPr>
      <w:r>
        <w:rPr>
          <w:b/>
          <w:bCs/>
        </w:rPr>
        <w:t xml:space="preserve">Stroop interference.</w:t>
      </w:r>
      <w:r>
        <w:t xml:space="preserve"> </w:t>
      </w:r>
      <w:r>
        <w:t xml:space="preserve">The Stroop effect (Stroop, 1935) measures the friction cost of suppressing a default selection (word reading) in favor of a non-default selection (color naming). The Stroop interference ratio (incongruent RT / congruent RT) provides a normalized behavioral index of the friction differential between default and non-default selections.</w:t>
      </w:r>
    </w:p>
    <w:p>
      <w:pPr>
        <w:pStyle w:val="BodyText"/>
      </w:pPr>
      <w:r>
        <w:rPr>
          <w:b/>
          <w:bCs/>
        </w:rPr>
        <w:t xml:space="preserve">Temporal discounting.</w:t>
      </w:r>
      <w:r>
        <w:t xml:space="preserve"> </w:t>
      </w:r>
      <w:r>
        <w:t xml:space="preserve">Steep temporal discounting — the preference for smaller-sooner over larger-later rewards — reflects the high friction cost of maintaining a non-default, future-oriented</w:t>
      </w:r>
      <w:r>
        <w:t xml:space="preserve"> </w:t>
      </w:r>
      <ns3:oMath>
        <ns3:sSub>
          <ns3:e>
            <ns3:r>
              <ns3:t>L</ns3:t>
            </ns3:r>
          </ns3:e>
          <ns3:sub>
            <ns3:r>
              <ns3:t>1</ns3:t>
            </ns3:r>
          </ns3:sub>
        </ns3:sSub>
      </ns3:oMath>
      <w:r>
        <w:t xml:space="preserve"> </w:t>
      </w:r>
      <w:r>
        <w:t xml:space="preserve">state (Bickel et al., 2012). The temporal discounting rate</w:t>
      </w:r>
      <w:r>
        <w:t xml:space="preserve"> </w:t>
      </w:r>
      <ns3:oMath>
        <ns3:r>
          <ns3:t>k</ns3:t>
        </ns3:r>
      </ns3:oMath>
      <w:r>
        <w:t xml:space="preserve"> </w:t>
      </w:r>
      <w:r>
        <w:t xml:space="preserve">in the hyperbolic model (</w:t>
      </w:r>
      <ns3:oMath>
        <ns3:r>
          <ns3:t>V</ns3:t>
        </ns3:r>
        <ns3:r>
          <ns3:rPr>
            <ns3:sty ns3:val="p"/>
          </ns3:rPr>
          <ns3:t>=</ns3:t>
        </ns3:r>
        <ns3:r>
          <ns3:t>A</ns3:t>
        </ns3:r>
        <ns3:r>
          <ns3:rPr>
            <ns3:sty ns3:val="p"/>
          </ns3:rPr>
          <ns3:t>/</ns3:t>
        </ns3:r>
        <ns3:r>
          <ns3:rPr>
            <ns3:sty ns3:val="p"/>
          </ns3:rPr>
          <ns3:t>(</ns3:t>
        </ns3:r>
        <ns3:r>
          <ns3:t>1</ns3:t>
        </ns3:r>
        <ns3:r>
          <ns3:rPr>
            <ns3:sty ns3:val="p"/>
          </ns3:rPr>
          <ns3:t>+</ns3:t>
        </ns3:r>
        <ns3:r>
          <ns3:t>k</ns3:t>
        </ns3:r>
        <ns3:r>
          <ns3:t>D</ns3:t>
        </ns3:r>
        <ns3:r>
          <ns3:rPr>
            <ns3:sty ns3:val="p"/>
          </ns3:rPr>
          <ns3:t>)</ns3:t>
        </ns3:r>
      </ns3:oMath>
      <w:r>
        <w:t xml:space="preserve">) can be interpreted as a proxy for the friction cost of temporal extension of the selection horizon. This interpretation is consistent with effort-based decision frameworks that treat control allocation as a cost-benefit computation (Westbrook and Braver, 2015).</w:t>
      </w:r>
    </w:p>
    <w:p>
      <w:pPr>
        <w:pStyle w:val="BodyText"/>
      </w:pPr>
      <w:r>
        <w:rPr>
          <w:b/>
          <w:bCs/>
        </w:rPr>
        <w:t xml:space="preserve">Composite score.</w:t>
      </w:r>
      <w:r>
        <w:t xml:space="preserve"> </w:t>
      </w:r>
      <w:r>
        <w:t xml:space="preserve">We propose a composite behavioral</w:t>
      </w:r>
      <w:r>
        <w:t xml:space="preserve"> </w:t>
      </w:r>
      <ns3:oMath>
        <ns3:sSub>
          <ns3:e>
            <ns3:r>
              <ns3:rPr>
                <ns3:sty ns3:val="p"/>
              </ns3:rPr>
              <ns3:t>Ψ</ns3:t>
            </ns3:r>
          </ns3:e>
          <ns3:sub>
            <ns3:r>
              <ns3:t>f</ns3:t>
            </ns3:r>
          </ns3:sub>
        </ns3:sSub>
      </ns3:oMath>
      <w:r>
        <w:t xml:space="preserve"> </w:t>
      </w:r>
      <w:r>
        <w:t xml:space="preserve">score computed as the average of standardized (Z-scored) values across: (a) mean task-switching cost, (b) WCST perseverative error proportion, (c) Stroop interference ratio, and (d) temporal discounting rate.</w:t>
      </w:r>
    </w:p>
    <w:bookmarkEnd w:id="25"/>
    <w:bookmarkStart w:id="26" w:name="physiological-proxies-core-and-expansion"/>
    <w:p>
      <w:pPr>
        <w:pStyle w:val="Heading3"/>
      </w:pPr>
      <w:r>
        <w:t xml:space="preserve">3.2 Physiological Proxies (Core and Expansion)</w:t>
      </w:r>
    </w:p>
    <w:p>
      <w:pPr>
        <w:pStyle w:val="FirstParagraph"/>
      </w:pPr>
      <w:r>
        <w:rPr>
          <w:b/>
          <w:bCs/>
        </w:rPr>
        <w:t xml:space="preserve">Heart rate variability (HRV) recovery.</w:t>
      </w:r>
      <w:r>
        <w:t xml:space="preserve"> </w:t>
      </w:r>
      <w:r>
        <w:t xml:space="preserve">Vagal-mediated HRV reflects the capacity of the autonomic nervous system to regulate arousal — a physiological substrate of selection power</w:t>
      </w:r>
      <w:r>
        <w:t xml:space="preserve"> </w:t>
      </w:r>
      <ns3:oMath>
        <ns3:sSub>
          <ns3:e>
            <ns3:r>
              <ns3:t>P</ns3:t>
            </ns3:r>
          </ns3:e>
          <ns3:sub>
            <ns3:r>
              <ns3:rPr>
                <ns3:nor/>
                <ns3:sty ns3:val="p"/>
              </ns3:rPr>
              <ns3:t>sel</ns3:t>
            </ns3:r>
          </ns3:sub>
        </ns3:sSub>
      </ns3:oMath>
      <w:r>
        <w:t xml:space="preserve">. The neurovisceral integration model (Thayer and Lane, 2009) establishes that high resting HRV indexes flexible autonomic control, while reduced HRV indexes rigidity. We predict that</w:t>
      </w:r>
      <w:r>
        <w:t xml:space="preserve"> </w:t>
      </w:r>
      <w:r>
        <w:rPr>
          <w:i/>
          <w:iCs/>
        </w:rPr>
        <w:t xml:space="preserve">HRV recovery slope</w:t>
      </w:r>
      <w:r>
        <w:t xml:space="preserve"> </w:t>
      </w:r>
      <w:r>
        <w:t xml:space="preserve">— the rate at which HRV returns to baseline following a stressor — indexes the system’s capacity to dissipate</w:t>
      </w:r>
      <w:r>
        <w:t xml:space="preserve"> </w:t>
      </w:r>
      <ns3:oMath>
        <ns3:sSub>
          <ns3:e>
            <ns3:r>
              <ns3:rPr>
                <ns3:sty ns3:val="p"/>
              </ns3:rPr>
              <ns3:t>Ψ</ns3:t>
            </ns3:r>
          </ns3:e>
          <ns3:sub>
            <ns3:r>
              <ns3:t>f</ns3:t>
            </ns3:r>
          </ns3:sub>
        </ns3:sSub>
      </ns3:oMath>
      <w:r>
        <w:t xml:space="preserve">. Slow recovery indicates sustained high friction; rapid recovery indicates efficient friction resolution.</w:t>
      </w:r>
    </w:p>
    <w:p>
      <w:pPr>
        <w:pStyle w:val="BodyText"/>
      </w:pPr>
      <w:r>
        <w:rPr>
          <w:b/>
          <w:bCs/>
        </w:rPr>
        <w:t xml:space="preserve">Cortisol circadian rhythm.</w:t>
      </w:r>
      <w:r>
        <w:t xml:space="preserve"> </w:t>
      </w:r>
      <w:r>
        <w:t xml:space="preserve">The diurnal cortisol curve (cortisol awakening response and diurnal slope) reflects the integrity of the hypothalamic-pituitary-adrenal axis. Chronic high</w:t>
      </w:r>
      <w:r>
        <w:t xml:space="preserve"> </w:t>
      </w:r>
      <ns3:oMath>
        <ns3:sSub>
          <ns3:e>
            <ns3:r>
              <ns3:rPr>
                <ns3:sty ns3:val="p"/>
              </ns3:rPr>
              <ns3:t>Ψ</ns3:t>
            </ns3:r>
          </ns3:e>
          <ns3:sub>
            <ns3:r>
              <ns3:t>f</ns3:t>
            </ns3:r>
          </ns3:sub>
        </ns3:sSub>
      </ns3:oMath>
      <w:r>
        <w:t xml:space="preserve"> </w:t>
      </w:r>
      <w:r>
        <w:t xml:space="preserve">is predicted to flatten the cortisol curve — reducing the morning peak and elevating the evening nadir — reflecting exhaustion of the neuroendocrine substrate that supports selection power (Adam et al., 2017). We propose the cortisol awakening response (CAR) magnitude and the diurnal cortisol slope (DCS) as complementary physiological proxies.</w:t>
      </w:r>
    </w:p>
    <w:p>
      <w:pPr>
        <w:pStyle w:val="BodyText"/>
      </w:pPr>
      <w:r>
        <w:rPr>
          <w:b/>
          <w:bCs/>
        </w:rPr>
        <w:t xml:space="preserve">Skin conductance response (SCR).</w:t>
      </w:r>
      <w:r>
        <w:t xml:space="preserve"> </w:t>
      </w:r>
      <w:r>
        <w:t xml:space="preserve">Phasic SCR amplitude during decision-making tasks reflects momentary spikes in autonomic arousal associated with conflict and uncertainty — acute increases in</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SCR peak amplitude during high-conflict choices (e.g., the Iowa Gambling Task; Bechara et al., 1994) provides a real-time physiological index of the hazard function (Equation 4).</w:t>
      </w:r>
    </w:p>
    <w:p>
      <w:pPr>
        <w:pStyle w:val="BodyText"/>
      </w:pPr>
      <w:r>
        <w:rPr>
          <w:b/>
          <w:bCs/>
        </w:rPr>
        <w:t xml:space="preserve">Reactive oxygen species (ROS) as a biochemical signature (expansion layer).</w:t>
      </w:r>
      <w:r>
        <w:t xml:space="preserve"> </w:t>
      </w:r>
      <w:r>
        <w:t xml:space="preserve">We propose a link between</w:t>
      </w:r>
      <w:r>
        <w:t xml:space="preserve"> </w:t>
      </w:r>
      <ns3:oMath>
        <ns3:sSub>
          <ns3:e>
            <ns3:r>
              <ns3:rPr>
                <ns3:sty ns3:val="p"/>
              </ns3:rPr>
              <ns3:t>Ψ</ns3:t>
            </ns3:r>
          </ns3:e>
          <ns3:sub>
            <ns3:r>
              <ns3:t>f</ns3:t>
            </ns3:r>
          </ns3:sub>
        </ns3:sSub>
      </ns3:oMath>
      <w:r>
        <w:t xml:space="preserve"> </w:t>
      </w:r>
      <w:r>
        <w:t xml:space="preserve">and oxidative stress for later-phase testing. The sustained energetic expenditure required to maintain high-friction states should produce elevated mitochondrial activity and, consequently, elevated ROS production. We formalize this as:</w:t>
      </w:r>
    </w:p>
    <w:p>
      <w:pPr>
        <w:pStyle w:val="BodyText"/>
      </w:pPr>
      <ns3:oMathPara>
        <ns3:oMathParaPr>
          <ns3:jc ns3:val="center"/>
        </ns3:oMathParaPr>
        <ns3:oMath>
          <ns3:f>
            <ns3:fPr>
              <ns3:type ns3:val="bar"/>
            </ns3:fPr>
            <ns3:num>
              <ns3:r>
                <ns3:t>d</ns3:t>
              </ns3:r>
              <ns3:r>
                <ns3:rPr>
                  <ns3:sty ns3:val="p"/>
                </ns3:rPr>
                <ns3:t>[</ns3:t>
              </ns3:r>
              <ns3:r>
                <ns3:rPr>
                  <ns3:nor/>
                  <ns3:sty ns3:val="p"/>
                </ns3:rPr>
                <ns3:t>ROS</ns3:t>
              </ns3:r>
              <ns3:r>
                <ns3:rPr>
                  <ns3:sty ns3:val="p"/>
                </ns3:rPr>
                <ns3:t>]</ns3:t>
              </ns3:r>
            </ns3:num>
            <ns3:den>
              <ns3:r>
                <ns3:t>d</ns3:t>
              </ns3:r>
              <ns3:r>
                <ns3:t>t</ns3:t>
              </ns3:r>
            </ns3:den>
          </ns3:f>
          <ns3:r>
            <ns3:rPr>
              <ns3:sty ns3:val="p"/>
            </ns3:rPr>
            <ns3:t>=</ns3:t>
          </ns3:r>
          <ns3:r>
            <ns3:t>α</ns3:t>
          </ns3:r>
          <ns3:r>
            <ns3:rPr>
              <ns3:sty ns3:val="p"/>
            </ns3:rPr>
            <ns3:t>⋅</ns3:t>
          </ns3:r>
          <ns3:sSub>
            <ns3:e>
              <ns3:r>
                <ns3:rPr>
                  <ns3:sty ns3:val="p"/>
                </ns3:rPr>
                <ns3:t>Ψ</ns3:t>
              </ns3:r>
            </ns3:e>
            <ns3:sub>
              <ns3:r>
                <ns3:t>f</ns3:t>
              </ns3:r>
            </ns3:sub>
          </ns3:sSub>
          <ns3:r>
            <ns3:rPr>
              <ns3:sty ns3:val="p"/>
            </ns3:rPr>
            <ns3:t>(</ns3:t>
          </ns3:r>
          <ns3:sSub>
            <ns3:e>
              <ns3:acc>
                <ns3:accPr>
                  <ns3:chr ns3:val="̂"/>
                </ns3:accPr>
                <ns3:e>
                  <ns3:r>
                    <ns3:t>G</ns3:t>
                  </ns3:r>
                </ns3:e>
              </ns3:acc>
            </ns3:e>
            <ns3:sub>
              <ns3:r>
                <ns3:t>θ</ns3:t>
              </ns3:r>
            </ns3:sub>
          </ns3:sSub>
          <ns3:r>
            <ns3:rPr>
              <ns3:sty ns3:val="p"/>
            </ns3:rPr>
            <ns3:t>)</ns3:t>
          </ns3:r>
          <ns3:r>
            <ns3:rPr>
              <ns3:sty ns3:val="p"/>
            </ns3:rPr>
            <ns3:t>−</ns3:t>
          </ns3:r>
          <ns3:r>
            <ns3:t>β</ns3:t>
          </ns3:r>
          <ns3:r>
            <ns3:rPr>
              <ns3:sty ns3:val="p"/>
            </ns3:rPr>
            <ns3:t>⋅</ns3:t>
          </ns3:r>
          <ns3:r>
            <ns3:rPr>
              <ns3:nor/>
              <ns3:sty ns3:val="p"/>
            </ns3:rPr>
            <ns3:t>Clearance</ns3:t>
          </ns3:r>
          <ns3:r>
            <ns3:rPr>
              <ns3:sty ns3:val="p"/>
            </ns3:rPr>
            <ns3:t>(</ns3:t>
          </ns3:r>
          <ns3:sSub>
            <ns3:e>
              <ns3:r>
                <ns3:t>θ</ns3:t>
              </ns3:r>
            </ns3:e>
            <ns3:sub>
              <ns3:r>
                <ns3:rPr>
                  <ns3:nor/>
                  <ns3:sty ns3:val="p"/>
                </ns3:rPr>
                <ns3:t>body</ns3:t>
              </ns3:r>
            </ns3:sub>
          </ns3:sSub>
          <ns3:r>
            <ns3:rPr>
              <ns3:sty ns3:val="p"/>
            </ns3:rPr>
            <ns3:t>)</ns3:t>
          </ns3:r>
        </ns3:oMath>
      </ns3:oMathPara>
    </w:p>
    <w:p>
      <w:pPr>
        <w:pStyle w:val="FirstParagraph"/>
      </w:pPr>
      <w:r>
        <w:t xml:space="preserve">where</w:t>
      </w:r>
      <w:r>
        <w:t xml:space="preserve"> </w:t>
      </w:r>
      <ns3:oMath>
        <ns3:r>
          <ns3:t>α</ns3:t>
        </ns3:r>
      </ns3:oMath>
      <w:r>
        <w:t xml:space="preserve"> </w:t>
      </w:r>
      <w:r>
        <w:t xml:space="preserve">is the friction-to-oxidative-load coupling coefficient and</w:t>
      </w:r>
      <w:r>
        <w:t xml:space="preserve"> </w:t>
      </w:r>
      <ns3:oMath>
        <ns3:r>
          <ns3:t>β</ns3:t>
        </ns3:r>
        <ns3:r>
          <ns3:rPr>
            <ns3:sty ns3:val="p"/>
          </ns3:rPr>
          <ns3:t>⋅</ns3:t>
        </ns3:r>
        <ns3:r>
          <ns3:rPr>
            <ns3:nor/>
            <ns3:sty ns3:val="p"/>
          </ns3:rPr>
          <ns3:t>Clearance</ns3:t>
        </ns3:r>
      </ns3:oMath>
      <w:r>
        <w:t xml:space="preserve"> </w:t>
      </w:r>
      <w:r>
        <w:t xml:space="preserve">represents antioxidant clearance capacity. Measurable ROS biomarkers include GSH/GSSG, malondialdehyde (MDA), 8-OHdG, and superoxide dismutase (SOD) activity. This is deliberately positioned as a phase-3 extension after core low-cost validation succeeds.</w:t>
      </w:r>
    </w:p>
    <w:p>
      <w:pPr>
        <w:pStyle w:val="BodyText"/>
      </w:pPr>
      <w:r>
        <w:rPr>
          <w:b/>
          <w:bCs/>
        </w:rPr>
        <w:t xml:space="preserve">Falsification condition for ROS coupling.</w:t>
      </w:r>
      <w:r>
        <w:t xml:space="preserve"> </w:t>
      </w:r>
      <w:r>
        <w:t xml:space="preserve">If experimentally induced high-</w:t>
      </w:r>
      <ns3:oMath>
        <ns3:sSub>
          <ns3:e>
            <ns3:r>
              <ns3:rPr>
                <ns3:sty ns3:val="p"/>
              </ns3:rPr>
              <ns3:t>Ψ</ns3:t>
            </ns3:r>
          </ns3:e>
          <ns3:sub>
            <ns3:r>
              <ns3:t>f</ns3:t>
            </ns3:r>
          </ns3:sub>
        </ns3:sSub>
      </ns3:oMath>
      <w:r>
        <w:t xml:space="preserve"> </w:t>
      </w:r>
      <w:r>
        <w:t xml:space="preserve">tasks (e.g., sustained task-switching under time pressure) do not produce elevated ROS relative to low-</w:t>
      </w:r>
      <ns3:oMath>
        <ns3:sSub>
          <ns3:e>
            <ns3:r>
              <ns3:rPr>
                <ns3:sty ns3:val="p"/>
              </ns3:rPr>
              <ns3:t>Ψ</ns3:t>
            </ns3:r>
          </ns3:e>
          <ns3:sub>
            <ns3:r>
              <ns3:t>f</ns3:t>
            </ns3:r>
          </ns3:sub>
        </ns3:sSub>
      </ns3:oMath>
      <w:r>
        <w:t xml:space="preserve"> </w:t>
      </w:r>
      <w:r>
        <w:t xml:space="preserve">control tasks, or if antioxidant supplementation (increasing</w:t>
      </w:r>
      <w:r>
        <w:t xml:space="preserve"> </w:t>
      </w:r>
      <ns3:oMath>
        <ns3:r>
          <ns3:t>β</ns3:t>
        </ns3:r>
      </ns3:oMath>
      <w:r>
        <w:t xml:space="preserve">) does not modulate behavioral</w:t>
      </w:r>
      <w:r>
        <w:t xml:space="preserve"> </w:t>
      </w:r>
      <ns3:oMath>
        <ns3:sSub>
          <ns3:e>
            <ns3:r>
              <ns3:rPr>
                <ns3:sty ns3:val="p"/>
              </ns3:rPr>
              <ns3:t>Ψ</ns3:t>
            </ns3:r>
          </ns3:e>
          <ns3:sub>
            <ns3:r>
              <ns3:t>f</ns3:t>
            </ns3:r>
          </ns3:sub>
        </ns3:sSub>
      </ns3:oMath>
      <w:r>
        <w:t xml:space="preserve"> </w:t>
      </w:r>
      <w:r>
        <w:t xml:space="preserve">proxies, the ROS-friction coupling model is rejected.</w:t>
      </w:r>
    </w:p>
    <w:bookmarkEnd w:id="26"/>
    <w:bookmarkStart w:id="27" w:name="neural-proxies"/>
    <w:p>
      <w:pPr>
        <w:pStyle w:val="Heading3"/>
      </w:pPr>
      <w:r>
        <w:t xml:space="preserve">3.3 Neural Proxies</w:t>
      </w:r>
    </w:p>
    <w:p>
      <w:pPr>
        <w:pStyle w:val="FirstParagraph"/>
      </w:pPr>
      <w:r>
        <w:t xml:space="preserve">Neural proxies provide mechanistic depth but are not required for phase-1 falsification. They are treated as expansion modalities to test whether control-cost signatures generalize from low-cost measures to circuit-level dynamics.</w:t>
      </w:r>
    </w:p>
    <w:p>
      <w:pPr>
        <w:pStyle w:val="BodyText"/>
      </w:pPr>
      <w:r>
        <w:rPr>
          <w:b/>
          <w:bCs/>
        </w:rPr>
        <w:t xml:space="preserve">Perturbational Complexity Index (PCI).</w:t>
      </w:r>
      <w:r>
        <w:t xml:space="preserve"> </w:t>
      </w:r>
      <w:r>
        <w:t xml:space="preserve">PCI quantifies the complexity of the cortical response to transcranial magnetic stimulation perturbation, capturing the system’s capacity for differentiated, integrated processing (Casali et al., 2013). We interpret PCI as indexing the available selection capacity of</w:t>
      </w:r>
      <w:r>
        <w:t xml:space="preserve"> </w:t>
      </w:r>
      <ns3:oMath>
        <ns3:sSub>
          <ns3:e>
            <ns3:acc>
              <ns3:accPr>
                <ns3:chr ns3:val="̂"/>
              </ns3:accPr>
              <ns3:e>
                <ns3:r>
                  <ns3:t>G</ns3:t>
                </ns3:r>
              </ns3:e>
            </ns3:acc>
          </ns3:e>
          <ns3:sub>
            <ns3:r>
              <ns3:t>θ</ns3:t>
            </ns3:r>
          </ns3:sub>
        </ns3:sSub>
      </ns3:oMath>
      <w:r>
        <w:t xml:space="preserve">: high PCI reflects high residual</w:t>
      </w:r>
      <w:r>
        <w:t xml:space="preserve"> </w:t>
      </w:r>
      <ns3:oMath>
        <ns3:sSub>
          <ns3:e>
            <ns3:r>
              <ns3:t>P</ns3:t>
            </ns3:r>
          </ns3:e>
          <ns3:sub>
            <ns3:r>
              <ns3:rPr>
                <ns3:nor/>
                <ns3:sty ns3:val="p"/>
              </ns3:rPr>
              <ns3:t>sel</ns3:t>
            </ns3:r>
          </ns3:sub>
        </ns3:sSub>
      </ns3:oMath>
      <w:r>
        <w:t xml:space="preserve">, while low PCI reflects depleted capacity. PCI should decrease under high</w:t>
      </w:r>
      <w:r>
        <w:t xml:space="preserve"> </w:t>
      </w:r>
      <ns3:oMath>
        <ns3:sSub>
          <ns3:e>
            <ns3:r>
              <ns3:rPr>
                <ns3:sty ns3:val="p"/>
              </ns3:rPr>
              <ns3:t>Ψ</ns3:t>
            </ns3:r>
          </ns3:e>
          <ns3:sub>
            <ns3:r>
              <ns3:t>f</ns3:t>
            </ns3:r>
          </ns3:sub>
        </ns3:sSub>
      </ns3:oMath>
      <w:r>
        <w:t xml:space="preserve"> </w:t>
      </w:r>
      <w:r>
        <w:t xml:space="preserve">load and correlate negatively with behavioral</w:t>
      </w:r>
      <w:r>
        <w:t xml:space="preserve"> </w:t>
      </w:r>
      <ns3:oMath>
        <ns3:sSub>
          <ns3:e>
            <ns3:r>
              <ns3:rPr>
                <ns3:sty ns3:val="p"/>
              </ns3:rPr>
              <ns3:t>Ψ</ns3:t>
            </ns3:r>
          </ns3:e>
          <ns3:sub>
            <ns3:r>
              <ns3:t>f</ns3:t>
            </ns3:r>
          </ns3:sub>
        </ns3:sSub>
      </ns3:oMath>
      <w:r>
        <w:t xml:space="preserve"> </w:t>
      </w:r>
      <w:r>
        <w:t xml:space="preserve">proxies.</w:t>
      </w:r>
    </w:p>
    <w:p>
      <w:pPr>
        <w:pStyle w:val="BodyText"/>
      </w:pPr>
      <w:r>
        <w:rPr>
          <w:b/>
          <w:bCs/>
        </w:rPr>
        <w:t xml:space="preserve">Fisher information metric.</w:t>
      </w:r>
      <w:r>
        <w:t xml:space="preserve"> </w:t>
      </w:r>
      <w:r>
        <w:t xml:space="preserve">The Fisher information matrix</w:t>
      </w:r>
      <w:r>
        <w:t xml:space="preserve"> </w:t>
      </w:r>
      <ns3:oMath>
        <ns3:sSub>
          <ns3:e>
            <ns3:r>
              <ns3:t>g</ns3:t>
            </ns3:r>
          </ns3:e>
          <ns3:sub>
            <ns3:r>
              <ns3:t>F</ns3:t>
            </ns3:r>
          </ns3:sub>
        </ns3:sSub>
      </ns3:oMath>
      <w:r>
        <w:t xml:space="preserve"> </w:t>
      </w:r>
      <w:r>
        <w:t xml:space="preserve">captures the curvature of the neural state-space manifold — how sharply the system’s responses change as parameters vary. We propose that the empirical Fisher condition number</w:t>
      </w:r>
      <w:r>
        <w:t xml:space="preserve"> </w:t>
      </w:r>
      <ns3:oMath>
        <ns3:r>
          <ns3:rPr>
            <ns3:sty ns3:val="p"/>
          </ns3:rPr>
          <ns3:t>log</ns3:t>
        </ns3:r>
        <ns3:r>
          <ns3:t>κ</ns3:t>
        </ns3:r>
        <ns3:r>
          <ns3:rPr>
            <ns3:sty ns3:val="p"/>
          </ns3:rPr>
          <ns3:t>(</ns3:t>
        </ns3:r>
        <ns3:sSub>
          <ns3:e>
            <ns3:r>
              <ns3:t>g</ns3:t>
            </ns3:r>
          </ns3:e>
          <ns3:sub>
            <ns3:r>
              <ns3:t>F</ns3:t>
            </ns3:r>
          </ns3:sub>
        </ns3:sSub>
        <ns3:r>
          <ns3:rPr>
            <ns3:sty ns3:val="p"/>
          </ns3:rPr>
          <ns3:t>)</ns3:t>
        </ns3:r>
      </ns3:oMath>
      <w:r>
        <w:t xml:space="preserve">, the Fisher volume term</w:t>
      </w:r>
      <w:r>
        <w:t xml:space="preserve"> </w:t>
      </w:r>
      <ns3:oMath>
        <ns3:r>
          <ns3:rPr>
            <ns3:sty ns3:val="p"/>
          </ns3:rPr>
          <ns3:t>log</ns3:t>
        </ns3:r>
        <ns3:r>
          <ns3:rPr>
            <ns3:sty ns3:val="p"/>
          </ns3:rPr>
          <ns3:t>det</ns3:t>
        </ns3:r>
        <ns3:r>
          <ns3:rPr>
            <ns3:sty ns3:val="p"/>
          </ns3:rPr>
          <ns3:t>(</ns3:t>
        </ns3:r>
        <ns3:sSub>
          <ns3:e>
            <ns3:r>
              <ns3:t>g</ns3:t>
            </ns3:r>
          </ns3:e>
          <ns3:sub>
            <ns3:r>
              <ns3:t>F</ns3:t>
            </ns3:r>
          </ns3:sub>
        </ns3:sSub>
        <ns3:r>
          <ns3:rPr>
            <ns3:sty ns3:val="p"/>
          </ns3:rPr>
          <ns3:t>)</ns3:t>
        </ns3:r>
      </ns3:oMath>
      <w:r>
        <w:t xml:space="preserve">, and the maximum eigenvalue drift</w:t>
      </w:r>
      <w:r>
        <w:t xml:space="preserve"> </w:t>
      </w:r>
      <ns3:oMath>
        <ns3:sSub>
          <ns3:e>
            <ns3:r>
              <ns3:t>λ</ns3:t>
            </ns3:r>
          </ns3:e>
          <ns3:sub>
            <ns3:r>
              <ns3:rPr>
                <ns3:sty ns3:val="p"/>
              </ns3:rPr>
              <ns3:t>max</ns3:t>
            </ns3:r>
          </ns3:sub>
        </ns3:sSub>
        <ns3:r>
          <ns3:rPr>
            <ns3:sty ns3:val="p"/>
          </ns3:rPr>
          <ns3:t>(</ns3:t>
        </ns3:r>
        <ns3:sSub>
          <ns3:e>
            <ns3:r>
              <ns3:t>g</ns3:t>
            </ns3:r>
          </ns3:e>
          <ns3:sub>
            <ns3:r>
              <ns3:t>F</ns3:t>
            </ns3:r>
          </ns3:sub>
        </ns3:sSub>
        <ns3:r>
          <ns3:rPr>
            <ns3:sty ns3:val="p"/>
          </ns3:rPr>
          <ns3:t>)</ns3:t>
        </ns3:r>
      </ns3:oMath>
      <w:r>
        <w:t xml:space="preserve"> </w:t>
      </w:r>
      <w:r>
        <w:t xml:space="preserve">serve as neural proxies for</w:t>
      </w:r>
      <w:r>
        <w:t xml:space="preserve"> </w:t>
      </w:r>
      <ns3:oMath>
        <ns3:sSub>
          <ns3:e>
            <ns3:r>
              <ns3:rPr>
                <ns3:sty ns3:val="p"/>
              </ns3:rPr>
              <ns3:t>Ψ</ns3:t>
            </ns3:r>
          </ns3:e>
          <ns3:sub>
            <ns3:r>
              <ns3:t>f</ns3:t>
            </ns3:r>
          </ns3:sub>
        </ns3:sSub>
      </ns3:oMath>
      <w:r>
        <w:t xml:space="preserve"> </w:t>
      </w:r>
      <w:r>
        <w:t xml:space="preserve">during state transitions (Amari, 2016). Specifically, transitions between cognitive states (e.g., task switches) should produce Fisher metric peaks</w:t>
      </w:r>
      <w:r>
        <w:t xml:space="preserve"> </w:t>
      </w:r>
      <w:r>
        <w:rPr>
          <w:i/>
          <w:iCs/>
        </w:rPr>
        <w:t xml:space="preserve">preceding</w:t>
      </w:r>
      <w:r>
        <w:t xml:space="preserve"> </w:t>
      </w:r>
      <w:r>
        <w:t xml:space="preserve">behavioral performance degradation — a</w:t>
      </w:r>
      <w:r>
        <w:t xml:space="preserve"> </w:t>
      </w:r>
      <w:r>
        <w:t xml:space="preserve">“structural reconfiguration signal”</w:t>
      </w:r>
      <w:r>
        <w:t xml:space="preserve"> </w:t>
      </w:r>
      <w:r>
        <w:t xml:space="preserve">that indexes friction before it manifests behaviorally.</w:t>
      </w:r>
    </w:p>
    <w:p>
      <w:pPr>
        <w:pStyle w:val="BodyText"/>
      </w:pPr>
      <w:r>
        <w:rPr>
          <w:b/>
          <w:bCs/>
        </w:rPr>
        <w:t xml:space="preserve">Theta-gamma coupling in prefrontal cortex.</w:t>
      </w:r>
      <w:r>
        <w:t xml:space="preserve"> </w:t>
      </w:r>
      <w:r>
        <w:t xml:space="preserve">Theta-phase/gamma-amplitude coupling (TGC) in prefrontal regions implements a multiplexing mechanism that constrains working memory capacity to approximately 5–7 items (Lisman and Idiart, 1995; Lundqvist et al., 2011). We interpret TGC integrity as an index of selection capacity: degraded TGC under high</w:t>
      </w:r>
      <w:r>
        <w:t xml:space="preserve"> </w:t>
      </w:r>
      <ns3:oMath>
        <ns3:sSub>
          <ns3:e>
            <ns3:r>
              <ns3:rPr>
                <ns3:sty ns3:val="p"/>
              </ns3:rPr>
              <ns3:t>Ψ</ns3:t>
            </ns3:r>
          </ns3:e>
          <ns3:sub>
            <ns3:r>
              <ns3:t>f</ns3:t>
            </ns3:r>
          </ns3:sub>
        </ns3:sSub>
      </ns3:oMath>
      <w:r>
        <w:t xml:space="preserve"> </w:t>
      </w:r>
      <w:r>
        <w:t xml:space="preserve">should predict working memory failures and executive breakdowns. Specifically, the phase-amplitude coupling modulation index (Tort et al., 2010) should decrease as behavioral</w:t>
      </w:r>
      <w:r>
        <w:t xml:space="preserve"> </w:t>
      </w:r>
      <ns3:oMath>
        <ns3:sSub>
          <ns3:e>
            <ns3:r>
              <ns3:rPr>
                <ns3:sty ns3:val="p"/>
              </ns3:rPr>
              <ns3:t>Ψ</ns3:t>
            </ns3:r>
          </ns3:e>
          <ns3:sub>
            <ns3:r>
              <ns3:t>f</ns3:t>
            </ns3:r>
          </ns3:sub>
        </ns3:sSub>
      </ns3:oMath>
      <w:r>
        <w:t xml:space="preserve"> </w:t>
      </w:r>
      <w:r>
        <w:t xml:space="preserve">composite scores increase.</w:t>
      </w:r>
    </w:p>
    <w:p>
      <w:pPr>
        <w:pStyle w:val="BodyText"/>
      </w:pPr>
      <w:r>
        <w:rPr>
          <w:b/>
          <w:bCs/>
        </w:rPr>
        <w:t xml:space="preserve">Thalamo–basal ganglia gating integrity.</w:t>
      </w:r>
      <w:r>
        <w:t xml:space="preserve"> </w:t>
      </w:r>
      <w:r>
        <w:t xml:space="preserve">The thalamus–basal ganglia circuit functions as a</w:t>
      </w:r>
      <w:r>
        <w:t xml:space="preserve"> </w:t>
      </w:r>
      <w:r>
        <w:rPr>
          <w:i/>
          <w:iCs/>
        </w:rPr>
        <w:t xml:space="preserve">selection gate</w:t>
      </w:r>
      <w:r>
        <w:t xml:space="preserve"> </w:t>
      </w:r>
      <w:r>
        <w:t xml:space="preserve">(</w:t>
      </w:r>
      <ns3:oMath>
        <ns3:sSub>
          <ns3:e>
            <ns3:acc>
              <ns3:accPr>
                <ns3:chr ns3:val="̂"/>
              </ns3:accPr>
              <ns3:e>
                <ns3:r>
                  <ns3:t>G</ns3:t>
                </ns3:r>
              </ns3:e>
            </ns3:acc>
          </ns3:e>
          <ns3:sub>
            <ns3:r>
              <ns3:rPr>
                <ns3:nor/>
                <ns3:sty ns3:val="p"/>
              </ns3:rPr>
              <ns3:t>gate</ns3:t>
            </ns3:r>
          </ns3:sub>
        </ns3:sSub>
        <ns3:r>
          <ns3:rPr>
            <ns3:sty ns3:val="p"/>
          </ns3:rPr>
          <ns3:t>=</ns3:t>
        </ns3:r>
        <ns3:sSub>
          <ns3:e>
            <ns3:acc>
              <ns3:accPr>
                <ns3:chr ns3:val="̂"/>
              </ns3:accPr>
              <ns3:e>
                <ns3:r>
                  <ns3:t>G</ns3:t>
                </ns3:r>
              </ns3:e>
            </ns3:acc>
          </ns3:e>
          <ns3:sub>
            <ns3:r>
              <ns3:rPr>
                <ns3:nor/>
                <ns3:sty ns3:val="p"/>
              </ns3:rPr>
              <ns3:t>thal</ns3:t>
            </ns3:r>
          </ns3:sub>
        </ns3:sSub>
        <ns3:r>
          <ns3:rPr>
            <ns3:sty ns3:val="p"/>
          </ns3:rPr>
          <ns3:t>∘</ns3:t>
        </ns3:r>
        <ns3:sSub>
          <ns3:e>
            <ns3:acc>
              <ns3:accPr>
                <ns3:chr ns3:val="̂"/>
              </ns3:accPr>
              <ns3:e>
                <ns3:r>
                  <ns3:t>G</ns3:t>
                </ns3:r>
              </ns3:e>
            </ns3:acc>
          </ns3:e>
          <ns3:sub>
            <ns3:r>
              <ns3:rPr>
                <ns3:nor/>
                <ns3:sty ns3:val="p"/>
              </ns3:rPr>
              <ns3:t>BG</ns3:t>
            </ns3:r>
          </ns3:sub>
        </ns3:sSub>
      </ns3:oMath>
      <w:r>
        <w:t xml:space="preserve">) that determines which candidate action trajectories are projected to manifest execution. Gate integrity can be indexed through reinforcement-learning model parameters (learning rate, exploration–exploitation balance) derived from probabilistic reversal-learning tasks (Frank et al., 2004). Degraded gating — as in Parkinson’s disease — should produce specifically elevated</w:t>
      </w:r>
      <w:r>
        <w:t xml:space="preserve"> </w:t>
      </w:r>
      <ns3:oMath>
        <ns3:sSub>
          <ns3:e>
            <ns3:r>
              <ns3:rPr>
                <ns3:sty ns3:val="p"/>
              </ns3:rPr>
              <ns3:t>Ψ</ns3:t>
            </ns3:r>
          </ns3:e>
          <ns3:sub>
            <ns3:r>
              <ns3:t>f</ns3:t>
            </ns3:r>
          </ns3:sub>
        </ns3:sSub>
      </ns3:oMath>
      <w:r>
        <w:t xml:space="preserve"> </w:t>
      </w:r>
      <w:r>
        <w:t xml:space="preserve">for action initiation while leaving cognitive</w:t>
      </w:r>
      <w:r>
        <w:t xml:space="preserve"> </w:t>
      </w:r>
      <ns3:oMath>
        <ns3:sSub>
          <ns3:e>
            <ns3:r>
              <ns3:rPr>
                <ns3:sty ns3:val="p"/>
              </ns3:rPr>
              <ns3:t>Ψ</ns3:t>
            </ns3:r>
          </ns3:e>
          <ns3:sub>
            <ns3:r>
              <ns3:t>f</ns3:t>
            </ns3:r>
          </ns3:sub>
        </ns3:sSub>
      </ns3:oMath>
      <w:r>
        <w:t xml:space="preserve"> </w:t>
      </w:r>
      <w:r>
        <w:t xml:space="preserve">relatively preserved.</w:t>
      </w:r>
    </w:p>
    <w:bookmarkEnd w:id="27"/>
    <w:bookmarkStart w:id="28" w:name="X1f30607e897a8c38fc2232dc92fd5f4bad40ab4"/>
    <w:p>
      <w:pPr>
        <w:pStyle w:val="Heading3"/>
      </w:pPr>
      <w:r>
        <w:t xml:space="preserve">3.4 Linguistic Proxy: The Modal Mechanics Probe</w:t>
      </w:r>
    </w:p>
    <w:p>
      <w:pPr>
        <w:pStyle w:val="FirstParagraph"/>
      </w:pPr>
      <w:r>
        <w:t xml:space="preserve">We introduce a novel, non-invasive proxy for</w:t>
      </w:r>
      <w:r>
        <w:t xml:space="preserve"> </w:t>
      </w:r>
      <ns3:oMath>
        <ns3:sSub>
          <ns3:e>
            <ns3:r>
              <ns3:rPr>
                <ns3:sty ns3:val="p"/>
              </ns3:rPr>
              <ns3:t>Ψ</ns3:t>
            </ns3:r>
          </ns3:e>
          <ns3:sub>
            <ns3:r>
              <ns3:t>f</ns3:t>
            </ns3:r>
          </ns3:sub>
        </ns3:sSub>
      </ns3:oMath>
      <w:r>
        <w:t xml:space="preserve"> </w:t>
      </w:r>
      <w:r>
        <w:t xml:space="preserve">based on the distribution of modal verbs in natural language production. We term this the</w:t>
      </w:r>
      <w:r>
        <w:t xml:space="preserve"> </w:t>
      </w:r>
      <w:r>
        <w:rPr>
          <w:i/>
          <w:iCs/>
        </w:rPr>
        <w:t xml:space="preserve">modal mechanics probe</w:t>
      </w:r>
      <w:r>
        <w:t xml:space="preserve"> </w:t>
      </w:r>
      <w:r>
        <w:t xml:space="preserve">(hypothesis H72 in the SRT framework).</w:t>
      </w:r>
    </w:p>
    <w:p>
      <w:pPr>
        <w:pStyle w:val="BodyText"/>
      </w:pPr>
      <w:r>
        <w:rPr>
          <w:b/>
          <w:bCs/>
        </w:rPr>
        <w:t xml:space="preserve">Theoretical rationale.</w:t>
      </w:r>
      <w:r>
        <w:t xml:space="preserve"> </w:t>
      </w:r>
      <w:r>
        <w:t xml:space="preserve">Modal verbs encode speakers’ orientation toward necessity, obligation, possibility, and desire (Palmer, 2001; van der Auwera and Plungian, 1998). We hypothesize that the balance between</w:t>
      </w:r>
      <w:r>
        <w:t xml:space="preserve"> </w:t>
      </w:r>
      <w:r>
        <w:rPr>
          <w:i/>
          <w:iCs/>
        </w:rPr>
        <w:t xml:space="preserve">constraint-oriented</w:t>
      </w:r>
      <w:r>
        <w:t xml:space="preserve"> </w:t>
      </w:r>
      <w:r>
        <w:t xml:space="preserve">modals (must, should, have to, cannot) and</w:t>
      </w:r>
      <w:r>
        <w:t xml:space="preserve"> </w:t>
      </w:r>
      <w:r>
        <w:rPr>
          <w:i/>
          <w:iCs/>
        </w:rPr>
        <w:t xml:space="preserve">possibility-oriented</w:t>
      </w:r>
      <w:r>
        <w:t xml:space="preserve"> </w:t>
      </w:r>
      <w:r>
        <w:t xml:space="preserve">modals (can, might, could, want to) reflects the speaker’s experienced level of ontological friction. High</w:t>
      </w:r>
      <w:r>
        <w:t xml:space="preserve"> </w:t>
      </w:r>
      <ns3:oMath>
        <ns3:sSub>
          <ns3:e>
            <ns3:r>
              <ns3:rPr>
                <ns3:sty ns3:val="p"/>
              </ns3:rPr>
              <ns3:t>Ψ</ns3:t>
            </ns3:r>
          </ns3:e>
          <ns3:sub>
            <ns3:r>
              <ns3:t>f</ns3:t>
            </ns3:r>
          </ns3:sub>
        </ns3:sSub>
      </ns3:oMath>
      <w:r>
        <w:t xml:space="preserve"> </w:t>
      </w:r>
      <w:r>
        <w:t xml:space="preserve">— experienced as constraint, obligation, and restriction — should bias language production toward constraint modals. Low</w:t>
      </w:r>
      <w:r>
        <w:t xml:space="preserve"> </w:t>
      </w:r>
      <ns3:oMath>
        <ns3:sSub>
          <ns3:e>
            <ns3:r>
              <ns3:rPr>
                <ns3:sty ns3:val="p"/>
              </ns3:rPr>
              <ns3:t>Ψ</ns3:t>
            </ns3:r>
          </ns3:e>
          <ns3:sub>
            <ns3:r>
              <ns3:t>f</ns3:t>
            </ns3:r>
          </ns3:sub>
        </ns3:sSub>
      </ns3:oMath>
      <w:r>
        <w:t xml:space="preserve"> </w:t>
      </w:r>
      <w:r>
        <w:t xml:space="preserve">— experienced as agency, possibility, and flow — should bias toward possibility modals.</w:t>
      </w:r>
    </w:p>
    <w:p>
      <w:pPr>
        <w:pStyle w:val="BodyText"/>
      </w:pPr>
      <w:r>
        <w:t xml:space="preserve">This directionality is consistent with broader evidence that clinically relevant affective-control states leave measurable signatures in language production (Rude et al., 2004), including large-scale clinical NLP evidence that natural language markers can prospectively index depression risk (Eichstaedt et al., 2018), motivating modal usage as a targeted, mechanistically interpretable subchannel.</w:t>
      </w:r>
    </w:p>
    <w:p>
      <w:pPr>
        <w:pStyle w:val="BodyText"/>
      </w:pPr>
      <w:r>
        <w:rPr>
          <w:b/>
          <w:bCs/>
        </w:rPr>
        <w:t xml:space="preserve">Neurobiological plausibility.</w:t>
      </w:r>
      <w:r>
        <w:t xml:space="preserve"> </w:t>
      </w:r>
      <w:r>
        <w:t xml:space="preserve">We do not treat</w:t>
      </w:r>
      <w:r>
        <w:t xml:space="preserve"> </w:t>
      </w:r>
      <ns3:oMath>
        <ns3:sSub>
          <ns3:e>
            <ns3:r>
              <ns3:t>μ</ns3:t>
            </ns3:r>
          </ns3:e>
          <ns3:sub>
            <ns3:r>
              <ns3:rPr>
                <ns3:nor/>
                <ns3:sty ns3:val="p"/>
              </ns3:rPr>
              <ns3:t>sem</ns3:t>
            </ns3:r>
          </ns3:sub>
        </ns3:sSub>
      </ns3:oMath>
      <w:r>
        <w:t xml:space="preserve"> </w:t>
      </w:r>
      <w:r>
        <w:t xml:space="preserve">as a purely stylistic marker. Under cognitive-control and embodied language accounts, lexical selection under conflict depends on frontally mediated control allocation and policy constraints (Miller and Cohen, 2001; Diamond, 2013). On this view, constraint-heavy modal output is interpretable as a semantic spillover of high control demand, i.e., a downstream linguistic footprint of constrained control budgets rather than a detached linguistic artifact.</w:t>
      </w:r>
    </w:p>
    <w:p>
      <w:pPr>
        <w:pStyle w:val="BodyText"/>
      </w:pPr>
      <w:r>
        <w:rPr>
          <w:b/>
          <w:bCs/>
        </w:rPr>
        <w:t xml:space="preserve">Operational definition.</w:t>
      </w:r>
      <w:r>
        <w:t xml:space="preserve"> </w:t>
      </w:r>
      <w:r>
        <w:t xml:space="preserve">The semantic modal ratio</w:t>
      </w:r>
      <w:r>
        <w:t xml:space="preserve"> </w:t>
      </w:r>
      <ns3:oMath>
        <ns3:sSub>
          <ns3:e>
            <ns3:r>
              <ns3:t>μ</ns3:t>
            </ns3:r>
          </ns3:e>
          <ns3:sub>
            <ns3:r>
              <ns3:rPr>
                <ns3:nor/>
                <ns3:sty ns3:val="p"/>
              </ns3:rPr>
              <ns3:t>sem</ns3:t>
            </ns3:r>
          </ns3:sub>
        </ns3:sSub>
      </ns3:oMath>
      <w:r>
        <w:t xml:space="preserve"> </w:t>
      </w:r>
      <w:r>
        <w:t xml:space="preserve">is defined as:</w:t>
      </w:r>
    </w:p>
    <w:p>
      <w:pPr>
        <w:pStyle w:val="BodyText"/>
      </w:pPr>
      <ns3:oMathPara>
        <ns3:oMathParaPr>
          <ns3:jc ns3:val="center"/>
        </ns3:oMathParaPr>
        <ns3:oMath>
          <ns3:sSub>
            <ns3:e>
              <ns3:r>
                <ns3:t>μ</ns3:t>
              </ns3:r>
            </ns3:e>
            <ns3:sub>
              <ns3:r>
                <ns3:rPr>
                  <ns3:nor/>
                  <ns3:sty ns3:val="p"/>
                </ns3:rPr>
                <ns3:t>sem</ns3:t>
              </ns3:r>
            </ns3:sub>
          </ns3:sSub>
          <ns3:r>
            <ns3:rPr>
              <ns3:sty ns3:val="p"/>
            </ns3:rPr>
            <ns3:t>=</ns3:t>
          </ns3:r>
          <ns3:f>
            <ns3:fPr>
              <ns3:type ns3:val="bar"/>
            </ns3:fPr>
            <ns3:num>
              <ns3:nary>
                <ns3:naryPr>
                  <ns3:chr ns3:val="∑"/>
                  <ns3:limLoc ns3:val="undOvr"/>
                  <ns3:subHide ns3:val="off"/>
                  <ns3:supHide ns3:val="on"/>
                </ns3:naryPr>
                <ns3:sub>
                  <ns3:r>
                    <ns3:t>i</ns3:t>
                  </ns3:r>
                </ns3:sub>
                <ns3:sup>
                  <ns3:r>
                    <ns3:t>​</ns3:t>
                  </ns3:r>
                </ns3:sup>
                <ns3:e>
                  <ns3:sSub>
                    <ns3:e>
                      <ns3:r>
                        <ns3:t>w</ns3:t>
                      </ns3:r>
                    </ns3:e>
                    <ns3:sub>
                      <ns3:r>
                        <ns3:t>i</ns3:t>
                      </ns3:r>
                    </ns3:sub>
                  </ns3:sSub>
                </ns3:e>
              </ns3:nary>
              <ns3:r>
                <ns3:rPr>
                  <ns3:sty ns3:val="p"/>
                </ns3:rPr>
                <ns3:t>⋅</ns3:t>
              </ns3:r>
              <ns3:r>
                <ns3:rPr>
                  <ns3:nor/>
                  <ns3:sty ns3:val="p"/>
                </ns3:rPr>
                <ns3:t>Freq</ns3:t>
              </ns3:r>
              <ns3:r>
                <ns3:rPr>
                  <ns3:sty ns3:val="p"/>
                </ns3:rPr>
                <ns3:t>(</ns3:t>
              </ns3:r>
              <ns3:sSub>
                <ns3:e>
                  <ns3:r>
                    <ns3:rPr>
                      <ns3:nor/>
                      <ns3:sty ns3:val="p"/>
                    </ns3:rPr>
                    <ns3:t>constraint modal</ns3:t>
                  </ns3:r>
                </ns3:e>
                <ns3:sub>
                  <ns3:r>
                    <ns3:t>i</ns3:t>
                  </ns3:r>
                </ns3:sub>
              </ns3:sSub>
              <ns3:r>
                <ns3:rPr>
                  <ns3:sty ns3:val="p"/>
                </ns3:rPr>
                <ns3:t>)</ns3:t>
              </ns3:r>
            </ns3:num>
            <ns3:den>
              <ns3:nary>
                <ns3:naryPr>
                  <ns3:chr ns3:val="∑"/>
                  <ns3:limLoc ns3:val="undOvr"/>
                  <ns3:subHide ns3:val="off"/>
                  <ns3:supHide ns3:val="on"/>
                </ns3:naryPr>
                <ns3:sub>
                  <ns3:r>
                    <ns3:t>j</ns3:t>
                  </ns3:r>
                </ns3:sub>
                <ns3:sup>
                  <ns3:r>
                    <ns3:t>​</ns3:t>
                  </ns3:r>
                </ns3:sup>
                <ns3:e>
                  <ns3:sSub>
                    <ns3:e>
                      <ns3:r>
                        <ns3:t>w</ns3:t>
                      </ns3:r>
                    </ns3:e>
                    <ns3:sub>
                      <ns3:r>
                        <ns3:t>j</ns3:t>
                      </ns3:r>
                    </ns3:sub>
                  </ns3:sSub>
                </ns3:e>
              </ns3:nary>
              <ns3:r>
                <ns3:rPr>
                  <ns3:sty ns3:val="p"/>
                </ns3:rPr>
                <ns3:t>⋅</ns3:t>
              </ns3:r>
              <ns3:r>
                <ns3:rPr>
                  <ns3:nor/>
                  <ns3:sty ns3:val="p"/>
                </ns3:rPr>
                <ns3:t>Freq</ns3:t>
              </ns3:r>
              <ns3:r>
                <ns3:rPr>
                  <ns3:sty ns3:val="p"/>
                </ns3:rPr>
                <ns3:t>(</ns3:t>
              </ns3:r>
              <ns3:sSub>
                <ns3:e>
                  <ns3:r>
                    <ns3:rPr>
                      <ns3:nor/>
                      <ns3:sty ns3:val="p"/>
                    </ns3:rPr>
                    <ns3:t>possibility modal</ns3:t>
                  </ns3:r>
                </ns3:e>
                <ns3:sub>
                  <ns3:r>
                    <ns3:t>j</ns3:t>
                  </ns3:r>
                </ns3:sub>
              </ns3:sSub>
              <ns3:r>
                <ns3:rPr>
                  <ns3:sty ns3:val="p"/>
                </ns3:rPr>
                <ns3:t>)</ns3:t>
              </ns3:r>
            </ns3:den>
          </ns3:f>
        </ns3:oMath>
      </ns3:oMathPara>
    </w:p>
    <w:p>
      <w:pPr>
        <w:pStyle w:val="FirstParagraph"/>
      </w:pPr>
      <w:r>
        <w:t xml:space="preserve">where</w:t>
      </w:r>
      <w:r>
        <w:t xml:space="preserve"> </w:t>
      </w:r>
      <ns3:oMath>
        <ns3:sSub>
          <ns3:e>
            <ns3:r>
              <ns3:t>w</ns3:t>
            </ns3:r>
          </ns3:e>
          <ns3:sub>
            <ns3:r>
              <ns3:t>i</ns3:t>
            </ns3:r>
          </ns3:sub>
        </ns3:sSub>
        <ns3:r>
          <ns3:rPr>
            <ns3:sty ns3:val="p"/>
          </ns3:rPr>
          <ns3:t>,</ns3:t>
        </ns3:r>
        <ns3:sSub>
          <ns3:e>
            <ns3:r>
              <ns3:t>w</ns3:t>
            </ns3:r>
          </ns3:e>
          <ns3:sub>
            <ns3:r>
              <ns3:t>j</ns3:t>
            </ns3:r>
          </ns3:sub>
        </ns3:sSub>
      </ns3:oMath>
      <w:r>
        <w:t xml:space="preserve"> </w:t>
      </w:r>
      <w:r>
        <w:t xml:space="preserve">are domain-specific weights (initially set to 1.0 for equal weighting) and Freq denotes frequency per 1000 words in a transcribed speech sample. Constraint modals include:</w:t>
      </w:r>
      <w:r>
        <w:t xml:space="preserve"> </w:t>
      </w:r>
      <w:r>
        <w:rPr>
          <w:i/>
          <w:iCs/>
        </w:rPr>
        <w:t xml:space="preserve">must, have to, need to, should, ought to, cannot, must not</w:t>
      </w:r>
      <w:r>
        <w:t xml:space="preserve">. Possibility modals include:</w:t>
      </w:r>
      <w:r>
        <w:t xml:space="preserve"> </w:t>
      </w:r>
      <w:r>
        <w:rPr>
          <w:i/>
          <w:iCs/>
        </w:rPr>
        <w:t xml:space="preserve">can, could, may, might, want to, would like to, choose to</w:t>
      </w:r>
      <w:r>
        <w:t xml:space="preserve">.</w:t>
      </w:r>
    </w:p>
    <w:p>
      <w:pPr>
        <w:pStyle w:val="BodyText"/>
      </w:pPr>
      <w:r>
        <w:rPr>
          <w:b/>
          <w:bCs/>
        </w:rPr>
        <w:t xml:space="preserve">Reproducible scoring protocol and confound control.</w:t>
      </w:r>
      <w:r>
        <w:t xml:space="preserve"> </w:t>
      </w:r>
      <w:r>
        <w:t xml:space="preserve">To make</w:t>
      </w:r>
      <w:r>
        <w:t xml:space="preserve"> </w:t>
      </w:r>
      <ns3:oMath>
        <ns3:sSub>
          <ns3:e>
            <ns3:r>
              <ns3:t>μ</ns3:t>
            </ns3:r>
          </ns3:e>
          <ns3:sub>
            <ns3:r>
              <ns3:rPr>
                <ns3:nor/>
                <ns3:sty ns3:val="p"/>
              </ns3:rPr>
              <ns3:t>sem</ns3:t>
            </ns3:r>
          </ns3:sub>
        </ns3:sSub>
      </ns3:oMath>
      <w:r>
        <w:t xml:space="preserve"> </w:t>
      </w:r>
      <w:r>
        <w:t xml:space="preserve">scale-like rather than anecdotal, we use a residualized score:</w:t>
      </w:r>
    </w:p>
    <w:p>
      <w:pPr>
        <w:pStyle w:val="BodyText"/>
      </w:pPr>
      <ns3:oMathPara>
        <ns3:oMathParaPr>
          <ns3:jc ns3:val="center"/>
        </ns3:oMathParaPr>
        <ns3:oMath>
          <ns3:eqArr>
            <ns3:e>
              <ns3:r>
                <ns3:rPr>
                  <ns3:sty ns3:val="p"/>
                </ns3:rPr>
                <ns3:t>log</ns3:t>
              </ns3:r>
              <ns3:sSub>
                <ns3:e>
                  <ns3:r>
                    <ns3:t>μ</ns3:t>
                  </ns3:r>
                </ns3:e>
                <ns3:sub>
                  <ns3:r>
                    <ns3:rPr>
                      <ns3:nor/>
                      <ns3:sty ns3:val="p"/>
                    </ns3:rPr>
                    <ns3:t>sem</ns3:t>
                  </ns3:r>
                </ns3:sub>
              </ns3:sSub>
              <ns3:r>
                <ns3:rPr>
                  <ns3:sty ns3:val="p"/>
                </ns3:rPr>
                <ns3:t>=</ns3:t>
              </ns3:r>
              <ns3:r>
                <ns3:t>​</ns3:t>
              </ns3:r>
              <ns3:r>
                <ns3:t>&amp;</ns3:t>
              </ns3:r>
              <ns3:sSub>
                <ns3:e>
                  <ns3:r>
                    <ns3:t>b</ns3:t>
                  </ns3:r>
                </ns3:e>
                <ns3:sub>
                  <ns3:r>
                    <ns3:t>0</ns3:t>
                  </ns3:r>
                </ns3:sub>
              </ns3:sSub>
              <ns3:r>
                <ns3:rPr>
                  <ns3:sty ns3:val="p"/>
                </ns3:rPr>
                <ns3:t>+</ns3:t>
              </ns3:r>
              <ns3:sSub>
                <ns3:e>
                  <ns3:r>
                    <ns3:t>b</ns3:t>
                  </ns3:r>
                </ns3:e>
                <ns3:sub>
                  <ns3:r>
                    <ns3:t>1</ns3:t>
                  </ns3:r>
                </ns3:sub>
              </ns3:sSub>
              <ns3:r>
                <ns3:rPr>
                  <ns3:nor/>
                  <ns3:sty ns3:val="p"/>
                </ns3:rPr>
                <ns3:t>Education</ns3:t>
              </ns3:r>
              <ns3:r>
                <ns3:rPr>
                  <ns3:sty ns3:val="p"/>
                </ns3:rPr>
                <ns3:t>+</ns3:t>
              </ns3:r>
              <ns3:sSub>
                <ns3:e>
                  <ns3:r>
                    <ns3:t>b</ns3:t>
                  </ns3:r>
                </ns3:e>
                <ns3:sub>
                  <ns3:r>
                    <ns3:t>2</ns3:t>
                  </ns3:r>
                </ns3:sub>
              </ns3:sSub>
              <ns3:r>
                <ns3:rPr>
                  <ns3:nor/>
                  <ns3:sty ns3:val="p"/>
                </ns3:rPr>
                <ns3:t>PromptType</ns3:t>
              </ns3:r>
              <ns3:r>
                <ns3:rPr>
                  <ns3:sty ns3:val="p"/>
                </ns3:rPr>
                <ns3:t>+</ns3:t>
              </ns3:r>
              <ns3:sSub>
                <ns3:e>
                  <ns3:r>
                    <ns3:t>b</ns3:t>
                  </ns3:r>
                </ns3:e>
                <ns3:sub>
                  <ns3:r>
                    <ns3:t>3</ns3:t>
                  </ns3:r>
                </ns3:sub>
              </ns3:sSub>
              <ns3:r>
                <ns3:rPr>
                  <ns3:nor/>
                  <ns3:sty ns3:val="p"/>
                </ns3:rPr>
                <ns3:t>Interviewer</ns3:t>
              </ns3:r>
            </ns3:e>
            <ns3:e>
              <ns3:r>
                <ns3:t>&amp;</ns3:t>
              </ns3:r>
              <ns3:r>
                <ns3:rPr>
                  <ns3:sty ns3:val="p"/>
                </ns3:rPr>
                <ns3:t>+</ns3:t>
              </ns3:r>
              <ns3:sSub>
                <ns3:e>
                  <ns3:r>
                    <ns3:t>b</ns3:t>
                  </ns3:r>
                </ns3:e>
                <ns3:sub>
                  <ns3:r>
                    <ns3:t>4</ns3:t>
                  </ns3:r>
                </ns3:sub>
              </ns3:sSub>
              <ns3:r>
                <ns3:rPr>
                  <ns3:nor/>
                  <ns3:sty ns3:val="p"/>
                </ns3:rPr>
                <ns3:t>AffectLexiconRatio</ns3:t>
              </ns3:r>
              <ns3:r>
                <ns3:rPr>
                  <ns3:sty ns3:val="p"/>
                </ns3:rPr>
                <ns3:t>+</ns3:t>
              </ns3:r>
              <ns3:sSub>
                <ns3:e>
                  <ns3:r>
                    <ns3:t>b</ns3:t>
                  </ns3:r>
                </ns3:e>
                <ns3:sub>
                  <ns3:r>
                    <ns3:t>5</ns3:t>
                  </ns3:r>
                </ns3:sub>
              </ns3:sSub>
              <ns3:r>
                <ns3:rPr>
                  <ns3:nor/>
                  <ns3:sty ns3:val="p"/>
                </ns3:rPr>
                <ns3:t>TokenCount</ns3:t>
              </ns3:r>
              <ns3:r>
                <ns3:rPr>
                  <ns3:sty ns3:val="p"/>
                </ns3:rPr>
                <ns3:t>+</ns3:t>
              </ns3:r>
              <ns3:sSub>
                <ns3:e>
                  <ns3:r>
                    <ns3:t>b</ns3:t>
                  </ns3:r>
                </ns3:e>
                <ns3:sub>
                  <ns3:r>
                    <ns3:t>6</ns3:t>
                  </ns3:r>
                </ns3:sub>
              </ns3:sSub>
              <ns3:r>
                <ns3:rPr>
                  <ns3:nor/>
                  <ns3:sty ns3:val="p"/>
                </ns3:rPr>
                <ns3:t>TypeTokenRatio</ns3:t>
              </ns3:r>
              <ns3:r>
                <ns3:rPr>
                  <ns3:sty ns3:val="p"/>
                </ns3:rPr>
                <ns3:t>+</ns3:t>
              </ns3:r>
              <ns3:r>
                <ns3:t>ε</ns3:t>
              </ns3:r>
              <ns3:r>
                <ns3:rPr>
                  <ns3:sty ns3:val="p"/>
                </ns3:rPr>
                <ns3:t>,</ns3:t>
              </ns3:r>
            </ns3:e>
            <ns3:e>
              <ns3:sSubSup>
                <ns3:e>
                  <ns3:r>
                    <ns3:t>μ</ns3:t>
                  </ns3:r>
                </ns3:e>
                <ns3:sub>
                  <ns3:r>
                    <ns3:rPr>
                      <ns3:nor/>
                      <ns3:sty ns3:val="p"/>
                    </ns3:rPr>
                    <ns3:t>sem</ns3:t>
                  </ns3:r>
                </ns3:sub>
                <ns3:sup>
                  <ns3:r>
                    <ns3:rPr>
                      <ns3:nor/>
                      <ns3:sty ns3:val="p"/>
                    </ns3:rPr>
                    <ns3:t>adj</ns3:t>
                  </ns3:r>
                </ns3:sup>
              </ns3:sSubSup>
              <ns3:r>
                <ns3:rPr>
                  <ns3:sty ns3:val="p"/>
                </ns3:rPr>
                <ns3:t>=</ns3:t>
              </ns3:r>
              <ns3:r>
                <ns3:t>​</ns3:t>
              </ns3:r>
              <ns3:r>
                <ns3:t>&amp;</ns3:t>
              </ns3:r>
              <ns3:r>
                <ns3:rPr>
                  <ns3:sty ns3:val="p"/>
                </ns3:rPr>
                <ns3:t>Residual</ns3:t>
              </ns3:r>
              <ns3:r>
                <ns3:t>​</ns3:t>
              </ns3:r>
              <ns3:d>
                <ns3:dPr>
                  <ns3:begChr ns3:val="("/>
                  <ns3:sepChr ns3:val=""/>
                  <ns3:endChr ns3:val=")"/>
                  <ns3:grow/>
                </ns3:dPr>
                <ns3:e>
                  <ns3:r>
                    <ns3:rPr>
                      <ns3:sty ns3:val="p"/>
                    </ns3:rPr>
                    <ns3:t>log</ns3:t>
                  </ns3:r>
                  <ns3:sSub>
                    <ns3:e>
                      <ns3:r>
                        <ns3:t>μ</ns3:t>
                      </ns3:r>
                    </ns3:e>
                    <ns3:sub>
                      <ns3:r>
                        <ns3:rPr>
                          <ns3:nor/>
                          <ns3:sty ns3:val="p"/>
                        </ns3:rPr>
                        <ns3:t>sem</ns3:t>
                      </ns3:r>
                    </ns3:sub>
                  </ns3:sSub>
                </ns3:e>
              </ns3:d>
            </ns3:e>
          </ns3:eqArr>
          <ns3:r>
            <ns3:t>  </ns3:t>
          </ns3:r>
          <ns3:r>
            <ns3:rPr>
              <ns3:nor/>
              <ns3:sty ns3:val="p"/>
            </ns3:rPr>
            <ns3:t>(10a)</ns3:t>
          </ns3:r>
        </ns3:oMath>
      </ns3:oMathPara>
    </w:p>
    <w:p>
      <w:pPr>
        <w:pStyle w:val="FirstParagraph"/>
      </w:pPr>
      <w:r>
        <w:t xml:space="preserve">This controls for major non-theoretical variance sources: education level, interview context, prompt wording, interviewer style, global affective-word prevalence, and lexical diversity. Recommended reliability checks are split-half agreement, inter-rater agreement for modal tagging (if manual annotation is used), and longitudinal ICC in repeated sessions. To reduce floor/ceiling instability, analyses should exclude samples with fewer than 10 total modal tokens.</w:t>
      </w:r>
    </w:p>
    <w:p>
      <w:pPr>
        <w:pStyle w:val="BodyText"/>
      </w:pPr>
      <w:r>
        <w:rPr>
          <w:b/>
          <w:bCs/>
        </w:rPr>
        <w:t xml:space="preserve">Cross-language mapping protocol (Mandarin example).</w:t>
      </w:r>
      <w:r>
        <w:t xml:space="preserve"> </w:t>
      </w:r>
      <w:r>
        <w:t xml:space="preserve">Cross-linguistic adaptation should preserve</w:t>
      </w:r>
      <w:r>
        <w:t xml:space="preserve"> </w:t>
      </w:r>
      <w:r>
        <w:rPr>
          <w:i/>
          <w:iCs/>
        </w:rPr>
        <w:t xml:space="preserve">semantic role classes</w:t>
      </w:r>
      <w:r>
        <w:t xml:space="preserve"> </w:t>
      </w:r>
      <w:r>
        <w:t xml:space="preserve">(constraint vs possibility), not literal word matching. For Mandarin Chinese, an initial inventory can be instantiated as:</w:t>
      </w:r>
    </w:p>
    <w:p>
      <w:pPr>
        <w:pStyle w:val="Compact"/>
        <w:numPr>
          <w:ilvl w:val="0"/>
          <w:numId w:val="1002"/>
        </w:numPr>
      </w:pPr>
      <w:r>
        <w:t xml:space="preserve">Constraint-oriented modals (Mandarin pinyin): bixu, dei, yao, yinggai, buneng, bude</w:t>
      </w:r>
    </w:p>
    <w:p>
      <w:pPr>
        <w:pStyle w:val="Compact"/>
        <w:numPr>
          <w:ilvl w:val="0"/>
          <w:numId w:val="1002"/>
        </w:numPr>
      </w:pPr>
      <w:r>
        <w:t xml:space="preserve">Possibility-oriented modals (Mandarin pinyin): keyi, neng, keneng, huoxu, xiang, yuanyi</w:t>
      </w:r>
    </w:p>
    <w:p>
      <w:pPr>
        <w:pStyle w:val="FirstParagraph"/>
      </w:pPr>
      <w:r>
        <w:t xml:space="preserve">Each language version should report (1) dictionary construction rules, (2) tokenization/segmentation pipeline, (3) ambiguity resolution rules (e.g., deontic vs epistemic usage), and (4) measurement-invariance checks before pooling cross-language samples. The minimum pre-registered sequence is configural then metric invariance (scalar optional); if metric invariance fails, confirmatory analyses remain language-specific and pooled estimates are treated as exploratory only.</w:t>
      </w:r>
    </w:p>
    <w:p>
      <w:pPr>
        <w:pStyle w:val="BodyText"/>
      </w:pPr>
      <w:r>
        <w:rPr>
          <w:b/>
          <w:bCs/>
        </w:rPr>
        <w:t xml:space="preserve">Methodological advantages.</w:t>
      </w:r>
      <w:r>
        <w:t xml:space="preserve"> </w:t>
      </w:r>
      <ns3:oMath>
        <ns3:sSub>
          <ns3:e>
            <ns3:r>
              <ns3:t>μ</ns3:t>
            </ns3:r>
          </ns3:e>
          <ns3:sub>
            <ns3:r>
              <ns3:rPr>
                <ns3:nor/>
                <ns3:sty ns3:val="p"/>
              </ns3:rPr>
              <ns3:t>sem</ns3:t>
            </ns3:r>
          </ns3:sub>
        </ns3:sSub>
      </ns3:oMath>
      <w:r>
        <w:t xml:space="preserve"> </w:t>
      </w:r>
      <w:r>
        <w:t xml:space="preserve">is non-invasive, low-cost, and scalable to large corpora, including interview archives and longitudinal recordings. It is therefore suitable as a phase-1 marker in the core validation chain.</w:t>
      </w:r>
    </w:p>
    <w:bookmarkEnd w:id="28"/>
    <w:bookmarkStart w:id="32" w:name="convergent-validity-architecture"/>
    <w:p>
      <w:pPr>
        <w:pStyle w:val="Heading3"/>
      </w:pPr>
      <w:r>
        <w:t xml:space="preserve">3.5 Convergent Validity Architecture</w:t>
      </w:r>
    </w:p>
    <w:p>
      <w:pPr>
        <w:pStyle w:val="FirstParagraph"/>
      </w:pPr>
      <w:r>
        <w:t xml:space="preserve">The central operationalization claim is that the four proxy classes converge on a single latent variable —</w:t>
      </w:r>
      <w:r>
        <w:t xml:space="preserve"> </w:t>
      </w:r>
      <ns3:oMath>
        <ns3:sSub>
          <ns3:e>
            <ns3:r>
              <ns3:rPr>
                <ns3:sty ns3:val="p"/>
              </ns3:rPr>
              <ns3:t>Ψ</ns3:t>
            </ns3:r>
          </ns3:e>
          <ns3:sub>
            <ns3:r>
              <ns3:t>f</ns3:t>
            </ns3:r>
          </ns3:sub>
        </ns3:sSub>
      </ns3:oMath>
      <w:r>
        <w:t xml:space="preserve"> </w:t>
      </w:r>
      <w:r>
        <w:t xml:space="preserve">— rather than measuring four independent constructs. This claim is testable through structural equation modeling (SEM).</w:t>
      </w:r>
    </w:p>
    <w:p>
      <w:pPr>
        <w:pStyle w:val="BodyText"/>
      </w:pPr>
      <w:r>
        <w:rPr>
          <w:b/>
          <w:bCs/>
        </w:rPr>
        <w:t xml:space="preserve">Proposed model.</w:t>
      </w:r>
      <w:r>
        <w:t xml:space="preserve"> </w:t>
      </w:r>
      <w:r>
        <w:t xml:space="preserve">A single-factor confirmatory factor analysis with four indicator classes:</w:t>
      </w:r>
    </w:p>
    <w:p>
      <w:pPr>
        <w:pStyle w:val="Compact"/>
        <w:numPr>
          <w:ilvl w:val="0"/>
          <w:numId w:val="1003"/>
        </w:numPr>
      </w:pPr>
      <w:r>
        <w:t xml:space="preserve">Behavioral composite</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(expected loading:</w:t>
      </w:r>
      <w:r>
        <w:t xml:space="preserve"> </w:t>
      </w:r>
      <ns3:oMath>
        <ns3:r>
          <ns3:t>λ</ns3:t>
        </ns3:r>
        <ns3:r>
          <ns3:rPr>
            <ns3:sty ns3:val="p"/>
          </ns3:rPr>
          <ns3:t>&gt;</ns3:t>
        </ns3:r>
        <ns3:r>
          <ns3:t>0.5</ns3:t>
        </ns3:r>
      </ns3:oMath>
      <w:r>
        <w:t xml:space="preserve">)</w:t>
      </w:r>
    </w:p>
    <w:p>
      <w:pPr>
        <w:pStyle w:val="Compact"/>
        <w:numPr>
          <w:ilvl w:val="0"/>
          <w:numId w:val="1003"/>
        </w:numPr>
      </w:pPr>
      <w:r>
        <w:t xml:space="preserve">Physiological composite (HRV recovery slope, inverse-coded)</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0.4</ns3:t>
        </ns3:r>
      </ns3:oMath>
      <w:r>
        <w:t xml:space="preserve">)</w:t>
      </w:r>
    </w:p>
    <w:p>
      <w:pPr>
        <w:pStyle w:val="Compact"/>
        <w:numPr>
          <w:ilvl w:val="0"/>
          <w:numId w:val="1003"/>
        </w:numPr>
      </w:pPr>
      <w:r>
        <w:t xml:space="preserve">Neural composite (PCI, inverse-coded; Fisher condition number)</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0.4</ns3:t>
        </ns3:r>
      </ns3:oMath>
      <w:r>
        <w:t xml:space="preserve">)</w:t>
      </w:r>
    </w:p>
    <w:p>
      <w:pPr>
        <w:pStyle w:val="Compact"/>
        <w:numPr>
          <w:ilvl w:val="0"/>
          <w:numId w:val="1003"/>
        </w:numPr>
      </w:pPr>
      <w:r>
        <w:t xml:space="preserve">Linguistic index (</w:t>
      </w:r>
      <ns3:oMath>
        <ns3:sSub>
          <ns3:e>
            <ns3:r>
              <ns3:t>μ</ns3:t>
            </ns3:r>
          </ns3:e>
          <ns3:sub>
            <ns3:r>
              <ns3:rPr>
                <ns3:nor/>
                <ns3:sty ns3:val="p"/>
              </ns3:rPr>
              <ns3:t>sem</ns3:t>
            </ns3:r>
          </ns3:sub>
        </ns3:sSub>
      </ns3:oMath>
      <w:r>
        <w:t xml:space="preserve">)</w:t>
      </w:r>
      <w:r>
        <w:t xml:space="preserve"> </w:t>
      </w:r>
      <ns3:oMath>
        <ns3:r>
          <ns3:rPr>
            <ns3:sty ns3:val="p"/>
          </ns3:rPr>
          <ns3:t>→</ns3:t>
        </ns3:r>
      </ns3:oMath>
      <w:r>
        <w:t xml:space="preserve"> </w:t>
      </w:r>
      <ns3:oMath>
        <ns3:sSub>
          <ns3:e>
            <ns3:r>
              <ns3:rPr>
                <ns3:sty ns3:val="p"/>
              </ns3:rPr>
              <ns3:t>Ψ</ns3:t>
            </ns3:r>
          </ns3:e>
          <ns3:sub>
            <ns3:r>
              <ns3:t>f</ns3:t>
            </ns3:r>
          </ns3:sub>
        </ns3:sSub>
      </ns3:oMath>
      <w:r>
        <w:t xml:space="preserve"> </w:t>
      </w:r>
      <w:r>
        <w:t xml:space="preserve">(</w:t>
      </w:r>
      <ns3:oMath>
        <ns3:r>
          <ns3:t>λ</ns3:t>
        </ns3:r>
        <ns3:r>
          <ns3:rPr>
            <ns3:sty ns3:val="p"/>
          </ns3:rPr>
          <ns3:t>&gt;</ns3:t>
        </ns3:r>
        <ns3:r>
          <ns3:t>0.3</ns3:t>
        </ns3:r>
      </ns3:oMath>
      <w:r>
        <w:t xml:space="preserve">)</w:t>
      </w:r>
    </w:p>
    <w:p>
      <w:pPr>
        <w:pStyle w:val="FirstParagraph"/>
      </w:pPr>
      <w:r>
        <w:t xml:space="preserve">For staged validation, we use a nested modeling strategy.</w:t>
      </w:r>
      <w:r>
        <w:t xml:space="preserve"> </w:t>
      </w:r>
      <w:r>
        <w:rPr>
          <w:b/>
          <w:bCs/>
        </w:rPr>
        <w:t xml:space="preserve">Core model (phase 1/2):</w:t>
      </w:r>
      <w:r>
        <w:t xml:space="preserve"> </w:t>
      </w:r>
      <w:r>
        <w:t xml:space="preserve">behavioral + linguistic + low-cost physiology.</w:t>
      </w:r>
      <w:r>
        <w:t xml:space="preserve"> </w:t>
      </w:r>
      <w:r>
        <w:rPr>
          <w:b/>
          <w:bCs/>
        </w:rPr>
        <w:t xml:space="preserve">Expansion model (phase 3):</w:t>
      </w:r>
      <w:r>
        <w:t xml:space="preserve"> </w:t>
      </w:r>
      <w:r>
        <w:t xml:space="preserve">add neural and ROS blocks and test whether they improve fit and prediction beyond the core model.</w:t>
      </w:r>
    </w:p>
    <w:p>
      <w:pPr>
        <w:pStyle w:val="BodyText"/>
      </w:pPr>
      <w:r>
        <w:rPr>
          <w:b/>
          <w:bCs/>
        </w:rPr>
        <w:t xml:space="preserve">Expected correlation structure.</w:t>
      </w:r>
      <w:r>
        <w:t xml:space="preserve"> </w:t>
      </w:r>
      <w:r>
        <w:t xml:space="preserve">Within-domain correlations should be moderate to strong (</w:t>
      </w:r>
      <ns3:oMath>
        <ns3:r>
          <ns3:t>r</ns3:t>
        </ns3:r>
        <ns3:r>
          <ns3:rPr>
            <ns3:sty ns3:val="p"/>
          </ns3:rPr>
          <ns3:t>=</ns3:t>
        </ns3:r>
        <ns3:r>
          <ns3:t>0.4</ns3:t>
        </ns3:r>
      </ns3:oMath>
      <w:r>
        <w:t xml:space="preserve">–</w:t>
      </w:r>
      <ns3:oMath>
        <ns3:r>
          <ns3:t>0.7</ns3:t>
        </ns3:r>
      </ns3:oMath>
      <w:r>
        <w:t xml:space="preserve">); between-domain correlations should be moderate (</w:t>
      </w:r>
      <ns3:oMath>
        <ns3:r>
          <ns3:t>r</ns3:t>
        </ns3:r>
        <ns3:r>
          <ns3:rPr>
            <ns3:sty ns3:val="p"/>
          </ns3:rPr>
          <ns3:t>=</ns3:t>
        </ns3:r>
        <ns3:r>
          <ns3:t>0.3</ns3:t>
        </ns3:r>
      </ns3:oMath>
      <w:r>
        <w:t xml:space="preserve">–</w:t>
      </w:r>
      <ns3:oMath>
        <ns3:r>
          <ns3:t>0.6</ns3:t>
        </ns3:r>
      </ns3:oMath>
      <w:r>
        <w:t xml:space="preserve">). If between-domain correlations fall below</w:t>
      </w:r>
      <w:r>
        <w:t xml:space="preserve"> </w:t>
      </w:r>
      <ns3:oMath>
        <ns3:r>
          <ns3:t>r</ns3:t>
        </ns3:r>
        <ns3:r>
          <ns3:rPr>
            <ns3:sty ns3:val="p"/>
          </ns3:rPr>
          <ns3:t>=</ns3:t>
        </ns3:r>
        <ns3:r>
          <ns3:t>0.15</ns3:t>
        </ns3:r>
      </ns3:oMath>
      <w:r>
        <w:t xml:space="preserve"> </w:t>
      </w:r>
      <w:r>
        <w:t xml:space="preserve">uniformly, the unitary latent variable interpretation is rejected in favor of independent constructs.</w:t>
      </w:r>
    </w:p>
    <w:p>
      <w:pPr>
        <w:pStyle w:val="BodyText"/>
      </w:pPr>
      <w:r>
        <w:rPr>
          <w:b/>
          <w:bCs/>
        </w:rPr>
        <w:t xml:space="preserve">Minimum survivable model if single-factor fails.</w:t>
      </w:r>
      <w:r>
        <w:t xml:space="preserve"> </w:t>
      </w:r>
      <w:r>
        <w:t xml:space="preserve">The fallback is pre-registered rather than post hoc: (a) a two-factor model separating control-performance (behavioral + physiology) from semantic-constraint (linguistic, plus optional neural/expansion indicators), and (b) a bifactor model with one general factor plus modality-specific factors. The framework is retained only if the general factor shows stable loadings and predicts critical-load outcomes beyond modality factors; otherwise, the theory is downgraded to a family of modality-indexed frictions (</w:t>
      </w:r>
      <ns3:oMath>
        <ns3:sSubSup>
          <ns3:e>
            <ns3:r>
              <ns3:rPr>
                <ns3:sty ns3:val="p"/>
              </ns3:rPr>
              <ns3:t>Ψ</ns3:t>
            </ns3:r>
          </ns3:e>
          <ns3:sub>
            <ns3:r>
              <ns3:t>f</ns3:t>
            </ns3:r>
          </ns3:sub>
          <ns3:sup>
            <ns3:r>
              <ns3:rPr>
                <ns3:sty ns3:val="p"/>
              </ns3:rPr>
              <ns3:t>(</ns3:t>
            </ns3:r>
            <ns3:r>
              <ns3:t>m</ns3:t>
            </ns3:r>
            <ns3:r>
              <ns3:rPr>
                <ns3:sty ns3:val="p"/>
              </ns3:rPr>
              <ns3:t>)</ns3:t>
            </ns3:r>
          </ns3:sup>
        </ns3:sSubSup>
      </ns3:oMath>
      <w:r>
        <w:t xml:space="preserve">) rather than one unitary latent variable.</w:t>
      </w:r>
    </w:p>
    <w:p>
      <w:pPr>
        <w:pStyle w:val="BodyText"/>
      </w:pPr>
      <w:r>
        <w:rPr>
          <w:b/>
          <w:bCs/>
        </w:rPr>
        <w:t xml:space="preserve">Discriminant validity.</w:t>
      </w:r>
      <w:r>
        <w:t xml:space="preserve"> </w:t>
      </w:r>
      <ns3:oMath>
        <ns3:sSub>
          <ns3:e>
            <ns3:r>
              <ns3:rPr>
                <ns3:sty ns3:val="p"/>
              </ns3:rPr>
              <ns3:t>Ψ</ns3:t>
            </ns3:r>
          </ns3:e>
          <ns3:sub>
            <ns3:r>
              <ns3:t>f</ns3:t>
            </ns3:r>
          </ns3:sub>
        </ns3:sSub>
      </ns3:oMath>
      <w:r>
        <w:t xml:space="preserve"> </w:t>
      </w:r>
      <w:r>
        <w:t xml:space="preserve">should be empirically distinguishable from general cognitive ability (IQ), general psychopathology (</w:t>
      </w:r>
      <ns3:oMath>
        <ns3:r>
          <ns3:t>p</ns3:t>
        </ns3:r>
      </ns3:oMath>
      <w:r>
        <w:t xml:space="preserve">-factor), and trait neuroticism. We predict that</w:t>
      </w:r>
      <w:r>
        <w:t xml:space="preserve"> </w:t>
      </w:r>
      <ns3:oMath>
        <ns3:sSub>
          <ns3:e>
            <ns3:r>
              <ns3:rPr>
                <ns3:sty ns3:val="p"/>
              </ns3:rPr>
              <ns3:t>Ψ</ns3:t>
            </ns3:r>
          </ns3:e>
          <ns3:sub>
            <ns3:r>
              <ns3:t>f</ns3:t>
            </ns3:r>
          </ns3:sub>
        </ns3:sSub>
      </ns3:oMath>
      <w:r>
        <w:t xml:space="preserve"> </w:t>
      </w:r>
      <w:r>
        <w:t xml:space="preserve">shows incremental validity over these constructs in predicting task-switching cost and clinical executive dysfunction.</w:t>
      </w:r>
    </w:p>
    <w:p>
      <w:pPr>
        <w:pStyle w:val="BodyText"/>
      </w:pPr>
      <w:r>
        <w:rPr>
          <w:b/>
          <w:bCs/>
        </w:rPr>
        <w:t xml:space="preserve">Figure 2.</w:t>
      </w:r>
      <w:r>
        <w:t xml:space="preserve"> </w:t>
      </w:r>
      <w:r>
        <w:rPr>
          <w:i/>
          <w:iCs/>
        </w:rPr>
        <w:t xml:space="preserve">Cross-modal operationalization map for ontological friction (</w:t>
      </w:r>
      <ns3:oMath>
        <ns3:sSub>
          <ns3:e>
            <ns3:r>
              <ns3:rPr>
                <ns3:sty ns3:val="p"/>
              </ns3:rPr>
              <ns3:t>Ψ</ns3:t>
            </ns3:r>
          </ns3:e>
          <ns3:sub>
            <ns3:r>
              <ns3:t>f</ns3:t>
            </ns3:r>
          </ns3:sub>
        </ns3:sSub>
      </ns3:oMath>
      <w:r>
        <w:rPr>
          <w:i/>
          <w:iCs/>
        </w:rPr>
        <w:t xml:space="preserve">).</w:t>
      </w:r>
      <w:r>
        <w:t xml:space="preserve"> </w:t>
      </w:r>
      <w:r>
        <w:t xml:space="preserve">Central latent construct with four proxy classes. Core validation chain: behavioral, linguistic, and low-cost physiology (HRV/SCR/cortisol). Expansion chain: ROS biomarkers and neural proxies (PCI, Fisher information, theta-gamma coupling, basal ganglia gating). Arrows indicate predicted direction of association;</w:t>
      </w:r>
      <w:r>
        <w:t xml:space="preserve"> </w:t>
      </w:r>
      <w:r>
        <w:t xml:space="preserve">“(inv)”</w:t>
      </w:r>
      <w:r>
        <w:t xml:space="preserve"> </w:t>
      </w:r>
      <w:r>
        <w:t xml:space="preserve">denotes inverse coding.</w:t>
      </w:r>
    </w:p>
    <w:p>
      <w:pPr>
        <w:pStyle w:val="CaptionedFigure"/>
      </w:pPr>
      <w:r>
        <w:drawing>
          <ns4:inline>
            <ns4:extent cx="5943600" cy="5213683"/>
            <ns4:effectExtent b="0" l="0" r="0" t="0"/>
            <ns4:docPr descr="Figure 2" title="" id="30" name="Picture"/>
            <ns5:graphic>
              <ns5:graphicData uri="http://schemas.openxmlformats.org/drawingml/2006/picture">
                <ns6:pic>
                  <ns6:nvPicPr>
                    <ns6:cNvPr descr="figures/fig2_proxy_map.png" id="31" name="Picture"/>
                    <ns6:cNvPicPr>
                      <ns5:picLocks noChangeArrowheads="1" noChangeAspect="1"/>
                    </ns6:cNvPicPr>
                  </ns6:nvPicPr>
                  <ns6:blipFill>
                    <ns5:blip r:embed="rId29"/>
                    <ns5:stretch>
                      <ns5:fillRect/>
                    </ns5:stretch>
                  </ns6:blipFill>
                  <ns6:spPr bwMode="auto">
                    <ns5:xfrm>
                      <ns5:off x="0" y="0"/>
                      <ns5:ext cx="5943600" cy="5213683"/>
                    </ns5:xfrm>
                    <ns5:prstGeom prst="rect">
                      <ns5:avLst/>
                    </ns5:prstGeom>
                    <ns5:noFill/>
                    <ns5:ln w="9525">
                      <ns5:noFill/>
                      <ns5:headEnd/>
                      <ns5:tailEnd/>
                    </ns5:ln>
                  </ns6:spPr>
                </ns6:pic>
              </ns5:graphicData>
            </ns5:graphic>
          </ns4:inline>
        </w:drawing>
      </w:r>
    </w:p>
    <w:p>
      <w:pPr>
        <w:pStyle w:val="ImageCaption"/>
      </w:pPr>
      <w:r>
        <w:t xml:space="preserve">Figure 2</w:t>
      </w:r>
    </w:p>
    <w:p>
      <w:r>
        <w:pict>
          <ns1:rect style="width:0;height:1.5pt" ns2:hralign="center" ns2:hrstd="t" ns2:hr="t"/>
        </w:pict>
      </w:r>
    </w:p>
    <w:bookmarkEnd w:id="32"/>
    <w:bookmarkEnd w:id="33"/>
    <w:bookmarkStart w:id="45" w:name="clinical-mapping-psi_f-across-disorders"/>
    <w:p>
      <w:pPr>
        <w:pStyle w:val="Heading2"/>
      </w:pPr>
      <w:r>
        <w:t xml:space="preserve">4. Clinical Mapping:</w:t>
      </w:r>
      <w:r>
        <w:t xml:space="preserve"> </w:t>
      </w:r>
      <ns3:oMath>
        <ns3:sSub>
          <ns3:e>
            <ns3:r>
              <ns3:rPr>
                <ns3:sty ns3:val="p"/>
              </ns3:rPr>
              <ns3:t>Ψ</ns3:t>
            </ns3:r>
          </ns3:e>
          <ns3:sub>
            <ns3:r>
              <ns3:t>f</ns3:t>
            </ns3:r>
          </ns3:sub>
        </ns3:sSub>
      </ns3:oMath>
      <w:r>
        <w:t xml:space="preserve"> </w:t>
      </w:r>
      <w:r>
        <w:t xml:space="preserve">Across Disorders</w:t>
      </w:r>
    </w:p>
    <w:p>
      <w:pPr>
        <w:pStyle w:val="FirstParagraph"/>
      </w:pPr>
      <w:r>
        <w:t xml:space="preserve">The</w:t>
      </w:r>
      <w:r>
        <w:t xml:space="preserve"> </w:t>
      </w:r>
      <ns3:oMath>
        <ns3:sSub>
          <ns3:e>
            <ns3:r>
              <ns3:rPr>
                <ns3:sty ns3:val="p"/>
              </ns3:rPr>
              <ns3:t>Ψ</ns3:t>
            </ns3:r>
          </ns3:e>
          <ns3:sub>
            <ns3:r>
              <ns3:t>f</ns3:t>
            </ns3:r>
          </ns3:sub>
        </ns3:sSub>
      </ns3:oMath>
      <w:r>
        <w:t xml:space="preserve"> </w:t>
      </w:r>
      <w:r>
        <w:t xml:space="preserve">framework generates disorder-specific predictions that go beyond the generic claim that</w:t>
      </w:r>
      <w:r>
        <w:t xml:space="preserve"> </w:t>
      </w:r>
      <w:r>
        <w:t xml:space="preserve">“executive function is impaired.”</w:t>
      </w:r>
      <w:r>
        <w:t xml:space="preserve"> </w:t>
      </w:r>
      <w:r>
        <w:t xml:space="preserve">Each clinical condition is modeled as a distinct perturbation of the</w:t>
      </w:r>
      <w:r>
        <w:t xml:space="preserve"> </w:t>
      </w:r>
      <ns3:oMath>
        <ns3:sSub>
          <ns3:e>
            <ns3:r>
              <ns3:rPr>
                <ns3:sty ns3:val="p"/>
              </ns3:rPr>
              <ns3:t>Ψ</ns3:t>
            </ns3:r>
          </ns3:e>
          <ns3:sub>
            <ns3:r>
              <ns3:t>f</ns3:t>
            </ns3:r>
          </ns3:sub>
        </ns3:sSub>
      </ns3:oMath>
      <w:r>
        <w:t xml:space="preserve"> </w:t>
      </w:r>
      <w:r>
        <w:t xml:space="preserve">dynamics, producing a characteristic</w:t>
      </w:r>
      <w:r>
        <w:t xml:space="preserve"> </w:t>
      </w:r>
      <w:r>
        <w:rPr>
          <w:i/>
          <w:iCs/>
        </w:rPr>
        <w:t xml:space="preserve">friction signature</w:t>
      </w:r>
      <w:r>
        <w:t xml:space="preserve"> </w:t>
      </w:r>
      <w:r>
        <w:t xml:space="preserve">across the four proxy classes.</w:t>
      </w:r>
    </w:p>
    <w:bookmarkStart w:id="37" w:name="X7ed4cab3aeee4116e7c3d9588c2d29f244b74da"/>
    <w:p>
      <w:pPr>
        <w:pStyle w:val="Heading3"/>
      </w:pPr>
      <w:r>
        <w:t xml:space="preserve">4.1 Major Depressive Disorder: Sustained Friction with Oxidative Coupling</w:t>
      </w:r>
    </w:p>
    <w:p>
      <w:pPr>
        <w:pStyle w:val="FirstParagraph"/>
      </w:pPr>
      <w:r>
        <w:t xml:space="preserve">In the</w:t>
      </w:r>
      <w:r>
        <w:t xml:space="preserve"> </w:t>
      </w:r>
      <ns3:oMath>
        <ns3:sSub>
          <ns3:e>
            <ns3:r>
              <ns3:rPr>
                <ns3:sty ns3:val="p"/>
              </ns3:rPr>
              <ns3:t>Ψ</ns3:t>
            </ns3:r>
          </ns3:e>
          <ns3:sub>
            <ns3:r>
              <ns3:t>f</ns3:t>
            </ns3:r>
          </ns3:sub>
        </ns3:sSub>
      </ns3:oMath>
      <w:r>
        <w:t xml:space="preserve"> </w:t>
      </w:r>
      <w:r>
        <w:t xml:space="preserve">framework, major depressive disorder (MDD) is modeled as a state of</w:t>
      </w:r>
      <w:r>
        <w:t xml:space="preserve"> </w:t>
      </w:r>
      <w:r>
        <w:rPr>
          <w:i/>
          <w:iCs/>
        </w:rPr>
        <w:t xml:space="preserve">chronic friction elevation</w:t>
      </w:r>
      <w:r>
        <w:t xml:space="preserve"> </w:t>
      </w:r>
      <w:r>
        <w:t xml:space="preserve">in which</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remains positive over extended periods, leading to progressive exhaustion of selection power and oxidative stress accumulation.</w:t>
      </w:r>
    </w:p>
    <w:p>
      <w:pPr>
        <w:pStyle w:val="BodyText"/>
      </w:pPr>
      <w:r>
        <w:rPr>
          <w:b/>
          <w:bCs/>
        </w:rPr>
        <w:t xml:space="preserve">Mechanism.</w:t>
      </w:r>
      <w:r>
        <w:t xml:space="preserve"> </w:t>
      </w:r>
      <w:r>
        <w:t xml:space="preserve">The depressed agent’s</w:t>
      </w:r>
      <w:r>
        <w:t xml:space="preserve"> </w:t>
      </w:r>
      <ns3:oMath>
        <ns3:sSub>
          <ns3:e>
            <ns3:r>
              <ns3:t>L</ns3:t>
            </ns3:r>
          </ns3:e>
          <ns3:sub>
            <ns3:r>
              <ns3:t>2</ns3:t>
            </ns3:r>
          </ns3:sub>
        </ns3:sSub>
      </ns3:oMath>
      <w:r>
        <w:t xml:space="preserve"> </w:t>
      </w:r>
      <w:r>
        <w:t xml:space="preserve">model may be accurate or even hyperaccurate (</w:t>
      </w:r>
      <w:r>
        <w:t xml:space="preserve">“depressive realism”</w:t>
      </w:r>
      <w:r>
        <w:t xml:space="preserve">; Alloy and Abramson, 1979) — the agent correctly identifies what actions would be beneficial. However, the friction cost of</w:t>
      </w:r>
      <w:r>
        <w:t xml:space="preserve"> </w:t>
      </w:r>
      <w:r>
        <w:rPr>
          <w:i/>
          <w:iCs/>
        </w:rPr>
        <w:t xml:space="preserve">initiating</w:t>
      </w:r>
      <w:r>
        <w:t xml:space="preserve"> </w:t>
      </w:r>
      <w:r>
        <w:t xml:space="preserve">state transitions (</w:t>
      </w:r>
      <ns3:oMath>
        <ns3:sSubSup>
          <ns3:e>
            <ns3:r>
              <ns3:rPr>
                <ns3:sty ns3:val="p"/>
              </ns3:rPr>
              <ns3:t>Ψ</ns3:t>
            </ns3:r>
          </ns3:e>
          <ns3:sub>
            <ns3:r>
              <ns3:t>f</ns3:t>
            </ns3:r>
          </ns3:sub>
          <ns3:sup>
            <ns3:r>
              <ns3:rPr>
                <ns3:nor/>
                <ns3:sty ns3:val="p"/>
              </ns3:rPr>
              <ns3:t>action</ns3:t>
            </ns3:r>
          </ns3:sup>
        </ns3:sSubSup>
      </ns3:oMath>
      <w:r>
        <w:t xml:space="preserve">) chronically exceeds the available residual selection power (</w:t>
      </w:r>
      <ns3:oMath>
        <ns3:sSubSup>
          <ns3:e>
            <ns3:r>
              <ns3:t>P</ns3:t>
            </ns3:r>
          </ns3:e>
          <ns3:sub>
            <ns3:r>
              <ns3:rPr>
                <ns3:nor/>
                <ns3:sty ns3:val="p"/>
              </ns3:rPr>
              <ns3:t>sel</ns3:t>
            </ns3:r>
          </ns3:sub>
          <ns3:sup>
            <ns3:r>
              <ns3:rPr>
                <ns3:nor/>
                <ns3:sty ns3:val="p"/>
              </ns3:rPr>
              <ns3:t>residual</ns3:t>
            </ns3:r>
          </ns3:sup>
        </ns3:sSubSup>
      </ns3:oMath>
      <w:r>
        <w:t xml:space="preserve">). The agent enters a stable low-energy attractor in which inaction minimizes acute distress (</w:t>
      </w:r>
      <ns3:oMath>
        <ns3:r>
          <ns3:t>d</ns3:t>
        </ns3:r>
        <ns3:sSub>
          <ns3:e>
            <ns3:r>
              <ns3:rPr>
                <ns3:sty ns3:val="p"/>
              </ns3:rPr>
              <ns3:t>Ψ</ns3:t>
            </ns3:r>
          </ns3:e>
          <ns3:sub>
            <ns3:r>
              <ns3:t>f</ns3:t>
            </ns3:r>
          </ns3:sub>
        </ns3:sSub>
        <ns3:r>
          <ns3:rPr>
            <ns3:sty ns3:val="p"/>
          </ns3:rPr>
          <ns3:t>/</ns3:t>
        </ns3:r>
        <ns3:r>
          <ns3:t>d</ns3:t>
        </ns3:r>
        <ns3:r>
          <ns3:t>t</ns3:t>
        </ns3:r>
        <ns3:r>
          <ns3:rPr>
            <ns3:sty ns3:val="p"/>
          </ns3:rPr>
          <ns3:t>≈</ns3:t>
        </ns3:r>
        <ns3:r>
          <ns3:t>0</ns3:t>
        </ns3:r>
      </ns3:oMath>
      <w:r>
        <w:t xml:space="preserve">) at the cost of chronic friction accumulation.</w:t>
      </w:r>
    </w:p>
    <w:p>
      <w:pPr>
        <w:pStyle w:val="BodyText"/>
      </w:pPr>
      <w:r>
        <w:t xml:space="preserve">The ROS coupling equation (Equation 9) generates a specific pathophysiological chain: sustained</w:t>
      </w:r>
      <w:r>
        <w:t xml:space="preserve"> </w:t>
      </w:r>
      <ns3:oMath>
        <ns3:sSub>
          <ns3:e>
            <ns3:r>
              <ns3:rPr>
                <ns3:sty ns3:val="p"/>
              </ns3:rPr>
              <ns3:t>Ψ</ns3:t>
            </ns3:r>
          </ns3:e>
          <ns3:sub>
            <ns3:r>
              <ns3:t>f</ns3:t>
            </ns3:r>
          </ns3:sub>
        </ns3:sSub>
        <ns3:r>
          <ns3:rPr>
            <ns3:sty ns3:val="p"/>
          </ns3:rPr>
          <ns3:t>→</ns3:t>
        </ns3:r>
      </ns3:oMath>
      <w:r>
        <w:t xml:space="preserve"> </w:t>
      </w:r>
      <w:r>
        <w:t xml:space="preserve">elevated metabolic demand</w:t>
      </w:r>
      <w:r>
        <w:t xml:space="preserve"> </w:t>
      </w:r>
      <ns3:oMath>
        <ns3:r>
          <ns3:rPr>
            <ns3:sty ns3:val="p"/>
          </ns3:rPr>
          <ns3:t>→</ns3:t>
        </ns3:r>
      </ns3:oMath>
      <w:r>
        <w:t xml:space="preserve"> </w:t>
      </w:r>
      <w:r>
        <w:t xml:space="preserve">increased mitochondrial ROS production</w:t>
      </w:r>
      <w:r>
        <w:t xml:space="preserve"> </w:t>
      </w:r>
      <ns3:oMath>
        <ns3:r>
          <ns3:rPr>
            <ns3:sty ns3:val="p"/>
          </ns3:rPr>
          <ns3:t>→</ns3:t>
        </ns3:r>
      </ns3:oMath>
      <w:r>
        <w:t xml:space="preserve"> </w:t>
      </w:r>
      <w:r>
        <w:t xml:space="preserve">oxidative damage</w:t>
      </w:r>
      <w:r>
        <w:t xml:space="preserve"> </w:t>
      </w:r>
      <ns3:oMath>
        <ns3:r>
          <ns3:rPr>
            <ns3:sty ns3:val="p"/>
          </ns3:rPr>
          <ns3:t>→</ns3:t>
        </ns3:r>
      </ns3:oMath>
      <w:r>
        <w:t xml:space="preserve"> </w:t>
      </w:r>
      <w:r>
        <w:t xml:space="preserve">inflammatory signaling</w:t>
      </w:r>
      <w:r>
        <w:t xml:space="preserve"> </w:t>
      </w:r>
      <ns3:oMath>
        <ns3:r>
          <ns3:rPr>
            <ns3:sty ns3:val="p"/>
          </ns3:rPr>
          <ns3:t>→</ns3:t>
        </ns3:r>
      </ns3:oMath>
      <w:r>
        <w:t xml:space="preserve"> </w:t>
      </w:r>
      <w:r>
        <w:t xml:space="preserve">further reduction of</w:t>
      </w:r>
      <w:r>
        <w:t xml:space="preserve"> </w:t>
      </w:r>
      <ns3:oMath>
        <ns3:sSub>
          <ns3:e>
            <ns3:r>
              <ns3:t>P</ns3:t>
            </ns3:r>
          </ns3:e>
          <ns3:sub>
            <ns3:r>
              <ns3:rPr>
                <ns3:nor/>
                <ns3:sty ns3:val="p"/>
              </ns3:rPr>
              <ns3:t>sel</ns3:t>
            </ns3:r>
          </ns3:sub>
        </ns3:sSub>
      </ns3:oMath>
      <w:r>
        <w:t xml:space="preserve"> </w:t>
      </w:r>
      <w:r>
        <w:t xml:space="preserve">through immune-mediated neuromodulatory changes. This positive feedback loop is consistent with the inflammatory hypothesis of depression (Maes et al., 2011; Miller and Raison, 2016) and provides a mechanistic link between the cognitive and immunological dimensions of MDD. In this manuscript, this chain is treated as a phase-3 mechanistic adjudication target; cross-sectional data can establish compatibility but not causal direction.</w:t>
      </w:r>
    </w:p>
    <w:p>
      <w:pPr>
        <w:pStyle w:val="BodyText"/>
      </w:pPr>
      <w:r>
        <w:rPr>
          <w:b/>
          <w:bCs/>
        </w:rPr>
        <w:t xml:space="preserve">Predicted friction signature.</w:t>
      </w:r>
      <w:r>
        <w:t xml:space="preserve"> </w:t>
      </w:r>
      <w:r>
        <w:t xml:space="preserve">Core chain prediction for depression is: (a) elevated behavioral</w:t>
      </w:r>
      <w:r>
        <w:t xml:space="preserve"> </w:t>
      </w:r>
      <ns3:oMath>
        <ns3:sSub>
          <ns3:e>
            <ns3:r>
              <ns3:rPr>
                <ns3:sty ns3:val="p"/>
              </ns3:rPr>
              <ns3:t>Ψ</ns3:t>
            </ns3:r>
          </ns3:e>
          <ns3:sub>
            <ns3:r>
              <ns3:t>f</ns3:t>
            </ns3:r>
          </ns3:sub>
        </ns3:sSub>
      </ns3:oMath>
      <w:r>
        <w:t xml:space="preserve"> </w:t>
      </w:r>
      <w:r>
        <w:t xml:space="preserve">composite, particularly temporal discounting and task-switching cost; (b) reduced HRV recovery slope and altered SCR/cortisol profile; and (c) elevated</w:t>
      </w:r>
      <w:r>
        <w:t xml:space="preserve"> </w:t>
      </w:r>
      <ns3:oMath>
        <ns3:sSub>
          <ns3:e>
            <ns3:r>
              <ns3:t>μ</ns3:t>
            </ns3:r>
          </ns3:e>
          <ns3:sub>
            <ns3:r>
              <ns3:rPr>
                <ns3:nor/>
                <ns3:sty ns3:val="p"/>
              </ns3:rPr>
              <ns3:t>sem</ns3:t>
            </ns3:r>
          </ns3:sub>
        </ns3:sSub>
      </ns3:oMath>
      <w:r>
        <w:t xml:space="preserve"> </w:t>
      </w:r>
      <w:r>
        <w:t xml:space="preserve">with predominance of obligation/constraint modals. Expansion prediction is reduced PCI/degraded theta-gamma coupling plus elevated ROS biomarkers (reduced GSH/GSSG ratio, elevated MDA).</w:t>
      </w:r>
    </w:p>
    <w:p>
      <w:pPr>
        <w:pStyle w:val="BodyText"/>
      </w:pPr>
      <w:r>
        <w:rPr>
          <w:b/>
          <w:bCs/>
        </w:rPr>
        <w:t xml:space="preserve">Figure 3.</w:t>
      </w:r>
      <w:r>
        <w:t xml:space="preserve"> </w:t>
      </w:r>
      <w:r>
        <w:rPr>
          <w:i/>
          <w:iCs/>
        </w:rPr>
        <w:t xml:space="preserve">ROS–</w:t>
      </w:r>
      <ns3:oMath>
        <ns3:sSub>
          <ns3:e>
            <ns3:r>
              <ns3:rPr>
                <ns3:sty ns3:val="p"/>
              </ns3:rPr>
              <ns3:t>Ψ</ns3:t>
            </ns3:r>
          </ns3:e>
          <ns3:sub>
            <ns3:r>
              <ns3:t>f</ns3:t>
            </ns3:r>
          </ns3:sub>
        </ns3:sSub>
      </ns3:oMath>
      <w:r>
        <w:rPr>
          <w:i/>
          <w:iCs/>
        </w:rPr>
        <w:t xml:space="preserve"> </w:t>
      </w:r>
      <w:r>
        <w:rPr>
          <w:i/>
          <w:iCs/>
        </w:rPr>
        <w:t xml:space="preserve">coupling mechanism: from ontological friction to clinical expression.</w:t>
      </w:r>
      <w:r>
        <w:t xml:space="preserve"> </w:t>
      </w:r>
      <w:r>
        <w:t xml:space="preserve">Directed acyclic graph showing the pathophysiological chain from sustained high</w:t>
      </w:r>
      <w:r>
        <w:t xml:space="preserve"> </w:t>
      </w:r>
      <ns3:oMath>
        <ns3:sSub>
          <ns3:e>
            <ns3:r>
              <ns3:rPr>
                <ns3:sty ns3:val="p"/>
              </ns3:rPr>
              <ns3:t>Ψ</ns3:t>
            </ns3:r>
          </ns3:e>
          <ns3:sub>
            <ns3:r>
              <ns3:t>f</ns3:t>
            </ns3:r>
          </ns3:sub>
        </ns3:sSub>
      </ns3:oMath>
      <w:r>
        <w:t xml:space="preserve"> </w:t>
      </w:r>
      <w:r>
        <w:t xml:space="preserve">through elevated metabolic demand, increased ROS production, oxidative damage, inflammatory signaling, reduced selection power (</w:t>
      </w:r>
      <ns3:oMath>
        <ns3:sSub>
          <ns3:e>
            <ns3:r>
              <ns3:t>P</ns3:t>
            </ns3:r>
          </ns3:e>
          <ns3:sub>
            <ns3:r>
              <ns3:rPr>
                <ns3:nor/>
                <ns3:sty ns3:val="p"/>
              </ns3:rPr>
              <ns3:t>sel</ns3:t>
            </ns3:r>
          </ns3:sub>
        </ns3:sSub>
      </ns3:oMath>
      <w:r>
        <w:t xml:space="preserve">), and deepened knowing–doing gap, forming a positive feedback loop (dashed red arrow). Dashed boxes at bottom indicate three intervention targets: pharmacological (</w:t>
      </w:r>
      <ns3:oMath>
        <ns3:r>
          <ns3:rPr>
            <ns3:sty ns3:val="p"/>
          </ns3:rPr>
          <ns3:t>↓</ns3:t>
        </ns3:r>
        <ns3:sSub>
          <ns3:e>
            <ns3:r>
              <ns3:rPr>
                <ns3:sty ns3:val="p"/>
              </ns3:rPr>
              <ns3:t>Ψ</ns3:t>
            </ns3:r>
          </ns3:e>
          <ns3:sub>
            <ns3:r>
              <ns3:t>f</ns3:t>
            </ns3:r>
          </ns3:sub>
        </ns3:sSub>
      </ns3:oMath>
      <w:r>
        <w:t xml:space="preserve">), behavioral (</w:t>
      </w:r>
      <ns3:oMath>
        <ns3:r>
          <ns3:rPr>
            <ns3:sty ns3:val="p"/>
          </ns3:rPr>
          <ns3:t>↑</ns3:t>
        </ns3:r>
        <ns3:sSub>
          <ns3:e>
            <ns3:r>
              <ns3:t>P</ns3:t>
            </ns3:r>
          </ns3:e>
          <ns3:sub>
            <ns3:r>
              <ns3:rPr>
                <ns3:nor/>
                <ns3:sty ns3:val="p"/>
              </ns3:rPr>
              <ns3:t>sel</ns3:t>
            </ns3:r>
          </ns3:sub>
        </ns3:sSub>
      </ns3:oMath>
      <w:r>
        <w:t xml:space="preserve">), and antioxidant (</w:t>
      </w:r>
      <ns3:oMath>
        <ns3:r>
          <ns3:rPr>
            <ns3:sty ns3:val="p"/>
          </ns3:rPr>
          <ns3:t>↑</ns3:t>
        </ns3:r>
      </ns3:oMath>
      <w:r>
        <w:t xml:space="preserve"> </w:t>
      </w:r>
      <w:r>
        <w:t xml:space="preserve">clearance).</w:t>
      </w:r>
    </w:p>
    <w:p>
      <w:pPr>
        <w:pStyle w:val="CaptionedFigure"/>
      </w:pPr>
      <w:r>
        <w:drawing>
          <ns4:inline>
            <ns4:extent cx="5943600" cy="3345976"/>
            <ns4:effectExtent b="0" l="0" r="0" t="0"/>
            <ns4:docPr descr="Figure 3" title="" id="35" name="Picture"/>
            <ns5:graphic>
              <ns5:graphicData uri="http://schemas.openxmlformats.org/drawingml/2006/picture">
                <ns6:pic>
                  <ns6:nvPicPr>
                    <ns6:cNvPr descr="figures/fig5_ros_dag.png" id="36" name="Picture"/>
                    <ns6:cNvPicPr>
                      <ns5:picLocks noChangeArrowheads="1" noChangeAspect="1"/>
                    </ns6:cNvPicPr>
                  </ns6:nvPicPr>
                  <ns6:blipFill>
                    <ns5:blip r:embed="rId34"/>
                    <ns5:stretch>
                      <ns5:fillRect/>
                    </ns5:stretch>
                  </ns6:blipFill>
                  <ns6:spPr bwMode="auto">
                    <ns5:xfrm>
                      <ns5:off x="0" y="0"/>
                      <ns5:ext cx="5943600" cy="3345976"/>
                    </ns5:xfrm>
                    <ns5:prstGeom prst="rect">
                      <ns5:avLst/>
                    </ns5:prstGeom>
                    <ns5:noFill/>
                    <ns5:ln w="9525">
                      <ns5:noFill/>
                      <ns5:headEnd/>
                      <ns5:tailEnd/>
                    </ns5:ln>
                  </ns6:spPr>
                </ns6:pic>
              </ns5:graphicData>
            </ns5:graphic>
          </ns4:inline>
        </w:drawing>
      </w:r>
    </w:p>
    <w:p>
      <w:pPr>
        <w:pStyle w:val="ImageCaption"/>
      </w:pPr>
      <w:r>
        <w:t xml:space="preserve">Figure 3</w:t>
      </w:r>
    </w:p>
    <w:bookmarkEnd w:id="37"/>
    <w:bookmarkStart w:id="38" w:name="X4b0c56ba7dab9dd968682fbe4d78b8c23cc4185"/>
    <w:p>
      <w:pPr>
        <w:pStyle w:val="Heading3"/>
      </w:pPr>
      <w:r>
        <w:t xml:space="preserve">4.2 Obsessive-Compulsive Disorder: Switching Viscosity</w:t>
      </w:r>
    </w:p>
    <w:p>
      <w:pPr>
        <w:pStyle w:val="FirstParagraph"/>
      </w:pPr>
      <w:r>
        <w:t xml:space="preserve">OCD is modeled as a pathological elevation of</w:t>
      </w:r>
      <w:r>
        <w:t xml:space="preserve"> </w:t>
      </w:r>
      <w:r>
        <w:rPr>
          <w:i/>
          <w:iCs/>
        </w:rPr>
        <w:t xml:space="preserve">switching viscosity</w:t>
      </w:r>
      <w:r>
        <w:t xml:space="preserve"> </w:t>
      </w:r>
      <ns3:oMath>
        <ns3:r>
          <ns3:t>η</ns3:t>
        </ns3:r>
      </ns3:oMath>
      <w:r>
        <w:t xml:space="preserve"> </w:t>
      </w:r>
      <w:r>
        <w:t xml:space="preserve">— the resistance of the parameter space to state transitions. The compulsive behavior occupies a local minimum in the friction landscape with extremely steep walls, making it energetically prohibitive to transition to alternative states.</w:t>
      </w:r>
    </w:p>
    <w:p>
      <w:pPr>
        <w:pStyle w:val="BodyText"/>
      </w:pPr>
      <w:r>
        <w:rPr>
          <w:b/>
          <w:bCs/>
        </w:rPr>
        <w:t xml:space="preserve">Mechanism.</w:t>
      </w:r>
      <w:r>
        <w:t xml:space="preserve"> </w:t>
      </w:r>
      <w:r>
        <w:t xml:space="preserve">We model OCD switching viscosity using a network-modulated gradient flow:</w:t>
      </w:r>
    </w:p>
    <w:p>
      <w:pPr>
        <w:pStyle w:val="BodyText"/>
      </w:pPr>
      <ns3:oMathPara>
        <ns3:oMathParaPr>
          <ns3:jc ns3:val="center"/>
        </ns3:oMathParaPr>
        <ns3:oMath>
          <ns3:f>
            <ns3:fPr>
              <ns3:type ns3:val="bar"/>
            </ns3:fPr>
            <ns3:num>
              <ns3:r>
                <ns3:t>d</ns3:t>
              </ns3:r>
              <ns3:sSub>
                <ns3:e>
                  <ns3:r>
                    <ns3:t>θ</ns3:t>
                  </ns3:r>
                </ns3:e>
                <ns3:sub>
                  <ns3:r>
                    <ns3:t>i</ns3:t>
                  </ns3:r>
                </ns3:sub>
              </ns3:sSub>
            </ns3:num>
            <ns3:den>
              <ns3:r>
                <ns3:t>d</ns3:t>
              </ns3:r>
              <ns3:r>
                <ns3:t>t</ns3:t>
              </ns3:r>
            </ns3:den>
          </ns3:f>
          <ns3:r>
            <ns3:rPr>
              <ns3:sty ns3:val="p"/>
            </ns3:rPr>
            <ns3:t>=</ns3:t>
          </ns3:r>
          <ns3:r>
            <ns3:rPr>
              <ns3:sty ns3:val="p"/>
            </ns3:rPr>
            <ns3:t>−</ns3:t>
          </ns3:r>
          <ns3:f>
            <ns3:fPr>
              <ns3:type ns3:val="bar"/>
            </ns3:fPr>
            <ns3:num>
              <ns3:sSub>
                <ns3:e>
                  <ns3:r>
                    <ns3:rPr>
                      <ns3:sty ns3:val="p"/>
                    </ns3:rPr>
                    <ns3:t>∇</ns3:t>
                  </ns3:r>
                </ns3:e>
                <ns3:sub>
                  <ns3:r>
                    <ns3:t>i</ns3:t>
                  </ns3:r>
                </ns3:sub>
              </ns3:sSub>
              <ns3:r>
                <ns3:rPr>
                  <ns3:sty ns3:val="p"/>
                </ns3:rPr>
                <ns3:t>Φ</ns3:t>
              </ns3:r>
              <ns3:r>
                <ns3:rPr>
                  <ns3:sty ns3:val="p"/>
                </ns3:rPr>
                <ns3:t>(</ns3:t>
              </ns3:r>
              <ns3:r>
                <ns3:t>θ</ns3:t>
              </ns3:r>
              <ns3:r>
                <ns3:rPr>
                  <ns3:sty ns3:val="p"/>
                </ns3:rPr>
                <ns3:t>)</ns3:t>
              </ns3:r>
            </ns3:num>
            <ns3:den>
              <ns3:r>
                <ns3:t>1</ns3:t>
              </ns3:r>
              <ns3:r>
                <ns3:rPr>
                  <ns3:sty ns3:val="p"/>
                </ns3:rPr>
                <ns3:t>+</ns3:t>
              </ns3:r>
              <ns3:r>
                <ns3:t>λ</ns3:t>
              </ns3:r>
              <ns3:sSub>
                <ns3:e>
                  <ns3:r>
                    <ns3:t>d</ns3:t>
                  </ns3:r>
                </ns3:e>
                <ns3:sub>
                  <ns3:r>
                    <ns3:t>i</ns3:t>
                  </ns3:r>
                </ns3:sub>
              </ns3:sSub>
            </ns3:den>
          </ns3:f>
          <ns3:r>
            <ns3:rPr>
              <ns3:sty ns3:val="p"/>
            </ns3:rPr>
            <ns3:t>+</ns3:t>
          </ns3:r>
          <ns3:sSub>
            <ns3:e>
              <ns3:r>
                <ns3:t>ϵ</ns3:t>
              </ns3:r>
            </ns3:e>
            <ns3:sub>
              <ns3:r>
                <ns3:t>i</ns3:t>
              </ns3:r>
            </ns3:sub>
          </ns3:sSub>
          <ns3:r>
            <ns3:rPr>
              <ns3:sty ns3:val="p"/>
            </ns3:rPr>
            <ns3:t>(</ns3:t>
          </ns3:r>
          <ns3:r>
            <ns3:t>t</ns3:t>
          </ns3:r>
          <ns3:r>
            <ns3:rPr>
              <ns3:sty ns3:val="p"/>
            </ns3:rPr>
            <ns3:t>)</ns3:t>
          </ns3:r>
          <ns3:r>
            <ns3:rPr>
              <ns3:sty ns3:val="p"/>
            </ns3:rPr>
            <ns3:t>,</ns3:t>
          </ns3:r>
          <ns3:r>
            <ns3:t> </ns3:t>
          </ns3:r>
          <ns3:r>
            <ns3:t>λ</ns3:t>
          </ns3:r>
          <ns3:r>
            <ns3:rPr>
              <ns3:sty ns3:val="p"/>
            </ns3:rPr>
            <ns3:t>&gt;</ns3:t>
          </ns3:r>
          <ns3:r>
            <ns3:t>0</ns3:t>
          </ns3:r>
        </ns3:oMath>
      </ns3:oMathPara>
    </w:p>
    <w:p>
      <w:pPr>
        <w:pStyle w:val="FirstParagraph"/>
      </w:pPr>
      <w:r>
        <w:t xml:space="preserve">where</w:t>
      </w:r>
      <w:r>
        <w:t xml:space="preserve"> </w:t>
      </w:r>
      <ns3:oMath>
        <ns3:r>
          <ns3:rPr>
            <ns3:sty ns3:val="p"/>
          </ns3:rPr>
          <ns3:t>Φ</ns3:t>
        </ns3:r>
        <ns3:r>
          <ns3:rPr>
            <ns3:sty ns3:val="p"/>
          </ns3:rPr>
          <ns3:t>(</ns3:t>
        </ns3:r>
        <ns3:r>
          <ns3:t>θ</ns3:t>
        </ns3:r>
        <ns3:r>
          <ns3:rPr>
            <ns3:sty ns3:val="p"/>
          </ns3:rPr>
          <ns3:t>)</ns3:t>
        </ns3:r>
      </ns3:oMath>
      <w:r>
        <w:t xml:space="preserve"> </w:t>
      </w:r>
      <w:r>
        <w:t xml:space="preserve">is the friction potential,</w:t>
      </w:r>
      <w:r>
        <w:t xml:space="preserve"> </w:t>
      </w:r>
      <ns3:oMath>
        <ns3:sSub>
          <ns3:e>
            <ns3:r>
              <ns3:t>d</ns3:t>
            </ns3:r>
          </ns3:e>
          <ns3:sub>
            <ns3:r>
              <ns3:t>i</ns3:t>
            </ns3:r>
          </ns3:sub>
        </ns3:sSub>
      </ns3:oMath>
      <w:r>
        <w:t xml:space="preserve"> </w:t>
      </w:r>
      <w:r>
        <w:t xml:space="preserve">is the network degree (or weighted centrality) of node</w:t>
      </w:r>
      <w:r>
        <w:t xml:space="preserve"> </w:t>
      </w:r>
      <ns3:oMath>
        <ns3:r>
          <ns3:t>i</ns3:t>
        </ns3:r>
      </ns3:oMath>
      <w:r>
        <w:t xml:space="preserve">, and</w:t>
      </w:r>
      <w:r>
        <w:t xml:space="preserve"> </w:t>
      </w:r>
      <ns3:oMath>
        <ns3:sSub>
          <ns3:e>
            <ns3:r>
              <ns3:t>ϵ</ns3:t>
            </ns3:r>
          </ns3:e>
          <ns3:sub>
            <ns3:r>
              <ns3:t>i</ns3:t>
            </ns3:r>
          </ns3:sub>
        </ns3:sSub>
        <ns3:r>
          <ns3:rPr>
            <ns3:sty ns3:val="p"/>
          </ns3:rPr>
          <ns3:t>(</ns3:t>
        </ns3:r>
        <ns3:r>
          <ns3:t>t</ns3:t>
        </ns3:r>
        <ns3:r>
          <ns3:rPr>
            <ns3:sty ns3:val="p"/>
          </ns3:rPr>
          <ns3:t>)</ns3:t>
        </ns3:r>
      </ns3:oMath>
      <w:r>
        <w:t xml:space="preserve"> </w:t>
      </w:r>
      <w:r>
        <w:t xml:space="preserve">is noise. High-centrality nodes update more slowly because effective step size is reduced by</w:t>
      </w:r>
      <w:r>
        <w:t xml:space="preserve"> </w:t>
      </w:r>
      <ns3:oMath>
        <ns3:r>
          <ns3:rPr>
            <ns3:sty ns3:val="p"/>
          </ns3:rPr>
          <ns3:t>(</ns3:t>
        </ns3:r>
        <ns3:r>
          <ns3:t>1</ns3:t>
        </ns3:r>
        <ns3:r>
          <ns3:rPr>
            <ns3:sty ns3:val="p"/>
          </ns3:rPr>
          <ns3:t>+</ns3:t>
        </ns3:r>
        <ns3:r>
          <ns3:t>λ</ns3:t>
        </ns3:r>
        <ns3:sSub>
          <ns3:e>
            <ns3:r>
              <ns3:t>d</ns3:t>
            </ns3:r>
          </ns3:e>
          <ns3:sub>
            <ns3:r>
              <ns3:t>i</ns3:t>
            </ns3:r>
          </ns3:sub>
        </ns3:sSub>
        <ns3:sSup>
          <ns3:e>
            <ns3:r>
              <ns3:rPr>
                <ns3:sty ns3:val="p"/>
              </ns3:rPr>
              <ns3:t>)</ns3:t>
            </ns3:r>
          </ns3:e>
          <ns3:sup>
            <ns3:r>
              <ns3:rPr>
                <ns3:sty ns3:val="p"/>
              </ns3:rPr>
              <ns3:t>−</ns3:t>
            </ns3:r>
            <ns3:r>
              <ns3:t>1</ns3:t>
            </ns3:r>
          </ns3:sup>
        </ns3:sSup>
      </ns3:oMath>
      <w:r>
        <w:t xml:space="preserve">. Local trapping strength is quantified by curvature:</w:t>
      </w:r>
    </w:p>
    <w:p>
      <w:pPr>
        <w:pStyle w:val="BodyText"/>
      </w:pPr>
      <ns3:oMathPara>
        <ns3:oMathParaPr>
          <ns3:jc ns3:val="center"/>
        </ns3:oMathParaPr>
        <ns3:oMath>
          <ns3:sSubSup>
            <ns3:e>
              <ns3:r>
                <ns3:rPr>
                  <ns3:sty ns3:val="p"/>
                </ns3:rPr>
                <ns3:t>Ψ</ns3:t>
              </ns3:r>
            </ns3:e>
            <ns3:sub>
              <ns3:r>
                <ns3:t>f</ns3:t>
              </ns3:r>
            </ns3:sub>
            <ns3:sup>
              <ns3:r>
                <ns3:rPr>
                  <ns3:nor/>
                  <ns3:sty ns3:val="p"/>
                </ns3:rPr>
                <ns3:t>switch</ns3:t>
              </ns3:r>
            </ns3:sup>
          </ns3:sSubSup>
          <ns3:r>
            <ns3:rPr>
              <ns3:sty ns3:val="p"/>
            </ns3:rPr>
            <ns3:t>(</ns3:t>
          </ns3:r>
          <ns3:sSub>
            <ns3:e>
              <ns3:r>
                <ns3:t>θ</ns3:t>
              </ns3:r>
            </ns3:e>
            <ns3:sub>
              <ns3:r>
                <ns3:t>i</ns3:t>
              </ns3:r>
            </ns3:sub>
          </ns3:sSub>
          <ns3:r>
            <ns3:rPr>
              <ns3:sty ns3:val="p"/>
            </ns3:rPr>
            <ns3:t>)</ns3:t>
          </ns3:r>
          <ns3:r>
            <ns3:rPr>
              <ns3:sty ns3:val="p"/>
            </ns3:rPr>
            <ns3:t>∝</ns3:t>
          </ns3:r>
          <ns3:sSub>
            <ns3:e>
              <ns3:r>
                <ns3:t>λ</ns3:t>
              </ns3:r>
            </ns3:e>
            <ns3:sub>
              <ns3:r>
                <ns3:rPr>
                  <ns3:sty ns3:val="p"/>
                </ns3:rPr>
                <ns3:t>max</ns3:t>
              </ns3:r>
            </ns3:sub>
          </ns3:sSub>
          <ns3:r>
            <ns3:t>​</ns3:t>
          </ns3:r>
          <ns3:d>
            <ns3:dPr>
              <ns3:begChr ns3:val="("/>
              <ns3:sepChr ns3:val=""/>
              <ns3:endChr ns3:val=")"/>
              <ns3:grow/>
            </ns3:dPr>
            <ns3:e>
              <ns3:sSubSup>
                <ns3:e>
                  <ns3:r>
                    <ns3:rPr>
                      <ns3:sty ns3:val="p"/>
                    </ns3:rPr>
                    <ns3:t>∇</ns3:t>
                  </ns3:r>
                </ns3:e>
                <ns3:sub>
                  <ns3:sSub>
                    <ns3:e>
                      <ns3:r>
                        <ns3:t>θ</ns3:t>
                      </ns3:r>
                    </ns3:e>
                    <ns3:sub>
                      <ns3:r>
                        <ns3:t>i</ns3:t>
                      </ns3:r>
                    </ns3:sub>
                  </ns3:sSub>
                </ns3:sub>
                <ns3:sup>
                  <ns3:r>
                    <ns3:t>2</ns3:t>
                  </ns3:r>
                </ns3:sup>
              </ns3:sSubSup>
              <ns3:r>
                <ns3:rPr>
                  <ns3:sty ns3:val="p"/>
                </ns3:rPr>
                <ns3:t>Φ</ns3:t>
              </ns3:r>
              <ns3:r>
                <ns3:rPr>
                  <ns3:sty ns3:val="p"/>
                </ns3:rPr>
                <ns3:t>(</ns3:t>
              </ns3:r>
              <ns3:r>
                <ns3:t>θ</ns3:t>
              </ns3:r>
              <ns3:r>
                <ns3:rPr>
                  <ns3:sty ns3:val="p"/>
                </ns3:rPr>
                <ns3:t>)</ns3:t>
              </ns3:r>
            </ns3:e>
          </ns3:d>
        </ns3:oMath>
      </ns3:oMathPara>
    </w:p>
    <w:p>
      <w:pPr>
        <w:pStyle w:val="FirstParagraph"/>
      </w:pPr>
      <w:r>
        <w:t xml:space="preserve">so compulsive states correspond to deep, high-curvature local wells that raise transition cost.</w:t>
      </w:r>
    </w:p>
    <w:p>
      <w:pPr>
        <w:pStyle w:val="BodyText"/>
      </w:pPr>
      <w:r>
        <w:rPr>
          <w:b/>
          <w:bCs/>
        </w:rPr>
        <w:t xml:space="preserve">Predicted friction signature.</w:t>
      </w:r>
      <w:r>
        <w:t xml:space="preserve"> </w:t>
      </w:r>
      <w:r>
        <w:t xml:space="preserve">OCD is characterized by: (a) dramatically elevated task-switching cost</w:t>
      </w:r>
      <w:r>
        <w:t xml:space="preserve"> </w:t>
      </w:r>
      <w:r>
        <w:rPr>
          <w:i/>
          <w:iCs/>
        </w:rPr>
        <w:t xml:space="preserve">specifically</w:t>
      </w:r>
      <w:r>
        <w:t xml:space="preserve"> </w:t>
      </w:r>
      <w:r>
        <w:t xml:space="preserve">for uncertainty- and contamination-related stimuli; (b) elevated SCR during obsession-related cues (acute</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spikes); and (c) the highest</w:t>
      </w:r>
      <w:r>
        <w:t xml:space="preserve"> </w:t>
      </w:r>
      <ns3:oMath>
        <ns3:sSub>
          <ns3:e>
            <ns3:r>
              <ns3:t>μ</ns3:t>
            </ns3:r>
          </ns3:e>
          <ns3:sub>
            <ns3:r>
              <ns3:rPr>
                <ns3:nor/>
                <ns3:sty ns3:val="p"/>
              </ns3:rPr>
              <ns3:t>sem</ns3:t>
            </ns3:r>
          </ns3:sub>
        </ns3:sSub>
      </ns3:oMath>
      <w:r>
        <w:t xml:space="preserve"> </w:t>
      </w:r>
      <w:r>
        <w:t xml:space="preserve">values, dominated by</w:t>
      </w:r>
      <w:r>
        <w:t xml:space="preserve"> </w:t>
      </w:r>
      <w:r>
        <w:t xml:space="preserve">“must/have to”</w:t>
      </w:r>
      <w:r>
        <w:t xml:space="preserve"> </w:t>
      </w:r>
      <w:r>
        <w:t xml:space="preserve">constructions. Expansion prediction is relatively preserved PCI (system not globally bandwidth-depleted but dynamically stuck). The discriminator from depression is elevated</w:t>
      </w:r>
      <w:r>
        <w:t xml:space="preserve"> </w:t>
      </w:r>
      <w:r>
        <w:rPr>
          <w:i/>
          <w:iCs/>
        </w:rPr>
        <w:t xml:space="preserve">switching</w:t>
      </w:r>
      <w:r>
        <w:t xml:space="preserve"> </w:t>
      </w:r>
      <w:r>
        <w:t xml:space="preserve">friction with comparatively preserved maintenance capacity.</w:t>
      </w:r>
    </w:p>
    <w:bookmarkEnd w:id="38"/>
    <w:bookmarkStart w:id="39" w:name="Xbb3c0ffed21c4008f601a5a76f65fcbc595e57b"/>
    <w:p>
      <w:pPr>
        <w:pStyle w:val="Heading3"/>
      </w:pPr>
      <w:r>
        <w:t xml:space="preserve">4.3 Parkinson’s Disease: Selection Gate Degradation</w:t>
      </w:r>
    </w:p>
    <w:p>
      <w:pPr>
        <w:pStyle w:val="FirstParagraph"/>
      </w:pPr>
      <w:r>
        <w:t xml:space="preserve">Parkinson’s disease (PD) is modeled as a degradation of the selection gate operator</w:t>
      </w:r>
      <w:r>
        <w:t xml:space="preserve"> </w:t>
      </w:r>
      <ns3:oMath>
        <ns3:sSub>
          <ns3:e>
            <ns3:acc>
              <ns3:accPr>
                <ns3:chr ns3:val="̂"/>
              </ns3:accPr>
              <ns3:e>
                <ns3:r>
                  <ns3:t>G</ns3:t>
                </ns3:r>
              </ns3:e>
            </ns3:acc>
          </ns3:e>
          <ns3:sub>
            <ns3:r>
              <ns3:rPr>
                <ns3:nor/>
                <ns3:sty ns3:val="p"/>
              </ns3:rPr>
              <ns3:t>gate</ns3:t>
            </ns3:r>
          </ns3:sub>
        </ns3:sSub>
      </ns3:oMath>
      <w:r>
        <w:t xml:space="preserve"> </w:t>
      </w:r>
      <w:r>
        <w:t xml:space="preserve">— the thalamo-basal ganglia circuit that converts motor plans (</w:t>
      </w:r>
      <ns3:oMath>
        <ns3:sSub>
          <ns3:e>
            <ns3:r>
              <ns3:t>L</ns3:t>
            </ns3:r>
          </ns3:e>
          <ns3:sub>
            <ns3:r>
              <ns3:t>2</ns3:t>
            </ns3:r>
          </ns3:sub>
        </ns3:sSub>
      </ns3:oMath>
      <w:r>
        <w:t xml:space="preserve"> </w:t>
      </w:r>
      <w:r>
        <w:t xml:space="preserve">representations) into initiated actions (</w:t>
      </w:r>
      <ns3:oMath>
        <ns3:sSub>
          <ns3:e>
            <ns3:r>
              <ns3:t>L</ns3:t>
            </ns3:r>
          </ns3:e>
          <ns3:sub>
            <ns3:r>
              <ns3:t>1</ns3:t>
            </ns3:r>
          </ns3:sub>
        </ns3:sSub>
      </ns3:oMath>
      <w:r>
        <w:t xml:space="preserve"> </w:t>
      </w:r>
      <w:r>
        <w:t xml:space="preserve">states).</w:t>
      </w:r>
    </w:p>
    <w:p>
      <w:pPr>
        <w:pStyle w:val="BodyText"/>
      </w:pPr>
      <w:r>
        <w:rPr>
          <w:b/>
          <w:bCs/>
        </w:rPr>
        <w:t xml:space="preserve">Mechanism.</w:t>
      </w:r>
      <w:r>
        <w:t xml:space="preserve"> </w:t>
      </w:r>
      <w:r>
        <w:t xml:space="preserve">The dopaminergic signal-to-noise ratio in the striatum serves as a gain parameter for the gate. As dopaminergic neurons in the substantia nigra degenerate, the gate’s capacity to distinguish candidate actions diminishes, and initiation friction rises (Frank et al., 2004; Redgrave et al., 2010). We use a dimensionless embodied anchoring index:</w:t>
      </w:r>
    </w:p>
    <w:p>
      <w:pPr>
        <w:pStyle w:val="BodyText"/>
      </w:pPr>
      <ns3:oMathPara>
        <ns3:oMathParaPr>
          <ns3:jc ns3:val="center"/>
        </ns3:oMathParaPr>
        <ns3:oMath>
          <ns3:sSub>
            <ns3:e>
              <ns3:acc>
                <ns3:accPr>
                  <ns3:chr ns3:val="̃"/>
                </ns3:accPr>
                <ns3:e>
                  <ns3:r>
                    <ns3:t>κ</ns3:t>
                  </ns3:r>
                </ns3:e>
              </ns3:acc>
            </ns3:e>
            <ns3:sub>
              <ns3:r>
                <ns3:rPr>
                  <ns3:nor/>
                  <ns3:sty ns3:val="p"/>
                </ns3:rPr>
                <ns3:t>body</ns3:t>
              </ns3:r>
            </ns3:sub>
          </ns3:sSub>
          <ns3:r>
            <ns3:rPr>
              <ns3:sty ns3:val="p"/>
            </ns3:rPr>
            <ns3:t>(</ns3:t>
          </ns3:r>
          <ns3:r>
            <ns3:t>t</ns3:t>
          </ns3:r>
          <ns3:r>
            <ns3:rPr>
              <ns3:sty ns3:val="p"/>
            </ns3:rPr>
            <ns3:t>)</ns3:t>
          </ns3:r>
          <ns3:r>
            <ns3:rPr>
              <ns3:sty ns3:val="p"/>
            </ns3:rPr>
            <ns3:t>=</ns3:t>
          </ns3:r>
          <ns3:f>
            <ns3:fPr>
              <ns3:type ns3:val="bar"/>
            </ns3:fPr>
            <ns3:num>
              <ns3:r>
                <ns3:rPr>
                  <ns3:nor/>
                  <ns3:sty ns3:val="p"/>
                </ns3:rPr>
                <ns3:t>GripForce</ns3:t>
              </ns3:r>
              <ns3:r>
                <ns3:rPr>
                  <ns3:sty ns3:val="p"/>
                </ns3:rPr>
                <ns3:t>(</ns3:t>
              </ns3:r>
              <ns3:r>
                <ns3:t>t</ns3:t>
              </ns3:r>
              <ns3:r>
                <ns3:rPr>
                  <ns3:sty ns3:val="p"/>
                </ns3:rPr>
                <ns3:t>)</ns3:t>
              </ns3:r>
              <ns3:r>
                <ns3:rPr>
                  <ns3:sty ns3:val="p"/>
                </ns3:rPr>
                <ns3:t>/</ns3:t>
              </ns3:r>
              <ns3:sSub>
                <ns3:e>
                  <ns3:r>
                    <ns3:t>F</ns3:t>
                  </ns3:r>
                </ns3:e>
                <ns3:sub>
                  <ns3:r>
                    <ns3:t>0</ns3:t>
                  </ns3:r>
                </ns3:sub>
              </ns3:sSub>
            </ns3:num>
            <ns3:den>
              <ns3:sSubSup>
                <ns3:e>
                  <ns3:r>
                    <ns3:rPr>
                      <ns3:sty ns3:val="p"/>
                    </ns3:rPr>
                    <ns3:t>Ψ</ns3:t>
                  </ns3:r>
                </ns3:e>
                <ns3:sub>
                  <ns3:r>
                    <ns3:t>f</ns3:t>
                  </ns3:r>
                </ns3:sub>
                <ns3:sup>
                  <ns3:r>
                    <ns3:rPr>
                      <ns3:nor/>
                      <ns3:sty ns3:val="p"/>
                    </ns3:rPr>
                    <ns3:t>initiation</ns3:t>
                  </ns3:r>
                </ns3:sup>
              </ns3:sSubSup>
              <ns3:r>
                <ns3:rPr>
                  <ns3:sty ns3:val="p"/>
                </ns3:rPr>
                <ns3:t>(</ns3:t>
              </ns3:r>
              <ns3:r>
                <ns3:t>t</ns3:t>
              </ns3:r>
              <ns3:r>
                <ns3:rPr>
                  <ns3:sty ns3:val="p"/>
                </ns3:rPr>
                <ns3:t>)</ns3:t>
              </ns3:r>
              <ns3:r>
                <ns3:rPr>
                  <ns3:sty ns3:val="p"/>
                </ns3:rPr>
                <ns3:t>/</ns3:t>
              </ns3:r>
              <ns3:sSub>
                <ns3:e>
                  <ns3:r>
                    <ns3:rPr>
                      <ns3:sty ns3:val="p"/>
                    </ns3:rPr>
                    <ns3:t>Ψ</ns3:t>
                  </ns3:r>
                </ns3:e>
                <ns3:sub>
                  <ns3:r>
                    <ns3:t>0</ns3:t>
                  </ns3:r>
                </ns3:sub>
              </ns3:sSub>
            </ns3:den>
          </ns3:f>
        </ns3:oMath>
      </ns3:oMathPara>
    </w:p>
    <w:p>
      <w:pPr>
        <w:pStyle w:val="FirstParagraph"/>
      </w:pPr>
      <w:r>
        <w:t xml:space="preserve">where</w:t>
      </w:r>
      <w:r>
        <w:t xml:space="preserve"> </w:t>
      </w:r>
      <ns3:oMath>
        <ns3:sSub>
          <ns3:e>
            <ns3:r>
              <ns3:t>F</ns3:t>
            </ns3:r>
          </ns3:e>
          <ns3:sub>
            <ns3:r>
              <ns3:t>0</ns3:t>
            </ns3:r>
          </ns3:sub>
        </ns3:sSub>
      </ns3:oMath>
      <w:r>
        <w:t xml:space="preserve"> </w:t>
      </w:r>
      <w:r>
        <w:t xml:space="preserve">and</w:t>
      </w:r>
      <w:r>
        <w:t xml:space="preserve"> </w:t>
      </w:r>
      <ns3:oMath>
        <ns3:sSub>
          <ns3:e>
            <ns3:r>
              <ns3:rPr>
                <ns3:sty ns3:val="p"/>
              </ns3:rPr>
              <ns3:t>Ψ</ns3:t>
            </ns3:r>
          </ns3:e>
          <ns3:sub>
            <ns3:r>
              <ns3:t>0</ns3:t>
            </ns3:r>
          </ns3:sub>
        </ns3:sSub>
      </ns3:oMath>
      <w:r>
        <w:t xml:space="preserve"> </w:t>
      </w:r>
      <w:r>
        <w:t xml:space="preserve">are participant-specific normalization constants (e.g., baseline grip force and baseline initiation friction estimate). As dopaminergic availability decreases,</w:t>
      </w:r>
      <w:r>
        <w:t xml:space="preserve"> </w:t>
      </w:r>
      <ns3:oMath>
        <ns3:sSub>
          <ns3:e>
            <ns3:acc>
              <ns3:accPr>
                <ns3:chr ns3:val="̃"/>
              </ns3:accPr>
              <ns3:e>
                <ns3:r>
                  <ns3:t>κ</ns3:t>
                </ns3:r>
              </ns3:e>
            </ns3:acc>
          </ns3:e>
          <ns3:sub>
            <ns3:r>
              <ns3:rPr>
                <ns3:nor/>
                <ns3:sty ns3:val="p"/>
              </ns3:rPr>
              <ns3:t>body</ns3:t>
            </ns3:r>
          </ns3:sub>
        </ns3:sSub>
        <ns3:r>
          <ns3:rPr>
            <ns3:sty ns3:val="p"/>
          </ns3:rPr>
          <ns3:t>→</ns3:t>
        </ns3:r>
        <ns3:r>
          <ns3:t>0</ns3:t>
        </ns3:r>
      </ns3:oMath>
      <w:r>
        <w:t xml:space="preserve">: the agent can generate a motor plan but fails to anchor execution in embodied output.</w:t>
      </w:r>
    </w:p>
    <w:p>
      <w:pPr>
        <w:pStyle w:val="BodyText"/>
      </w:pPr>
      <w:r>
        <w:rPr>
          <w:b/>
          <w:bCs/>
        </w:rPr>
        <w:t xml:space="preserve">Predicted friction signature.</w:t>
      </w:r>
      <w:r>
        <w:t xml:space="preserve"> </w:t>
      </w:r>
      <w:r>
        <w:t xml:space="preserve">PD is characterized by: (a) elevated task-switching cost for motor tasks with relatively preserved cognitive switching (early stages); (b) elevated SCR during motor initiation attempts with less pronounced endocrine flattening; and (c)</w:t>
      </w:r>
      <w:r>
        <w:t xml:space="preserve"> </w:t>
      </w:r>
      <ns3:oMath>
        <ns3:sSub>
          <ns3:e>
            <ns3:r>
              <ns3:t>μ</ns3:t>
            </ns3:r>
          </ns3:e>
          <ns3:sub>
            <ns3:r>
              <ns3:rPr>
                <ns3:nor/>
                <ns3:sty ns3:val="p"/>
              </ns3:rPr>
              <ns3:t>sem</ns3:t>
            </ns3:r>
          </ns3:sub>
        </ns3:sSub>
      </ns3:oMath>
      <w:r>
        <w:t xml:space="preserve"> </w:t>
      </w:r>
      <w:r>
        <w:t xml:space="preserve">elevation concentrated in motor-action expressions. Expansion prediction is region-specific PCI reduction in motor cortex with relative prefrontal preservation.</w:t>
      </w:r>
    </w:p>
    <w:p>
      <w:pPr>
        <w:pStyle w:val="BodyText"/>
      </w:pPr>
      <w:r>
        <w:t xml:space="preserve">For empirical PD cohorts, a minimal adjustment set should include dopaminergic medication state (ON/OFF and levodopa-equivalent daily dose), disease duration, motor severity (e.g., UPDRS), sleep status, and major psychiatric comorbidity.</w:t>
      </w:r>
    </w:p>
    <w:bookmarkEnd w:id="39"/>
    <w:bookmarkStart w:id="43" w:name="differential-prediction-table"/>
    <w:p>
      <w:pPr>
        <w:pStyle w:val="Heading3"/>
      </w:pPr>
      <w:r>
        <w:t xml:space="preserve">4.4 Differential Prediction Table</w:t>
      </w:r>
    </w:p>
    <w:p>
      <w:pPr>
        <w:pStyle w:val="FirstParagraph"/>
      </w:pPr>
      <w:r>
        <w:t xml:space="preserve">The clinical utility of</w:t>
      </w:r>
      <w:r>
        <w:t xml:space="preserve"> </w:t>
      </w:r>
      <ns3:oMath>
        <ns3:sSub>
          <ns3:e>
            <ns3:r>
              <ns3:rPr>
                <ns3:sty ns3:val="p"/>
              </ns3:rPr>
              <ns3:t>Ψ</ns3:t>
            </ns3:r>
          </ns3:e>
          <ns3:sub>
            <ns3:r>
              <ns3:t>f</ns3:t>
            </ns3:r>
          </ns3:sub>
        </ns3:sSub>
      </ns3:oMath>
      <w:r>
        <w:t xml:space="preserve"> </w:t>
      </w:r>
      <w:r>
        <w:t xml:space="preserve">depends on its capacity to generate</w:t>
      </w:r>
      <w:r>
        <w:t xml:space="preserve"> </w:t>
      </w:r>
      <w:r>
        <w:rPr>
          <w:i/>
          <w:iCs/>
        </w:rPr>
        <w:t xml:space="preserve">disorder-specific</w:t>
      </w:r>
      <w:r>
        <w:t xml:space="preserve"> </w:t>
      </w:r>
      <w:r>
        <w:t xml:space="preserve">predictions, not merely generic</w:t>
      </w:r>
      <w:r>
        <w:t xml:space="preserve"> </w:t>
      </w:r>
      <w:r>
        <w:t xml:space="preserve">“executive dysfunction”</w:t>
      </w:r>
      <w:r>
        <w:t xml:space="preserve"> </w:t>
      </w:r>
      <w:r>
        <w:t xml:space="preserve">claims. Table 2 summarizes the predicted friction signatures across conditions.</w:t>
      </w:r>
    </w:p>
    <w:p>
      <w:pPr>
        <w:pStyle w:val="BodyText"/>
      </w:pPr>
      <w:r>
        <w:rPr>
          <w:b/>
          <w:bCs/>
        </w:rPr>
        <w:t xml:space="preserve">Table 2. Predicted</w:t>
      </w:r>
      <w:r>
        <w:rPr>
          <w:b/>
          <w:bCs/>
        </w:rPr>
        <w:t xml:space="preserve"> </w:t>
      </w:r>
      <ns3:oMath>
        <ns3:sSub>
          <ns3:e>
            <ns3:r>
              <ns3:rPr>
                <ns3:sty ns3:val="p"/>
              </ns3:rPr>
              <ns3:t>Ψ</ns3:t>
            </ns3:r>
          </ns3:e>
          <ns3:sub>
            <ns3:r>
              <ns3:t>f</ns3:t>
            </ns3:r>
          </ns3:sub>
        </ns3:sSub>
      </ns3:oMath>
      <w:r>
        <w:rPr>
          <w:b/>
          <w:bCs/>
        </w:rPr>
        <w:t xml:space="preserve"> </w:t>
      </w:r>
      <w:r>
        <w:rPr>
          <w:b/>
          <w:bCs/>
        </w:rPr>
        <w:t xml:space="preserve">proxy signatures across clinical conditions.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Proxy</w:t>
            </w:r>
          </w:p>
        </w:tc>
        <w:tc>
          <w:tcPr/>
          <w:p>
            <w:pPr>
              <w:pStyle w:val="Compact"/>
            </w:pPr>
            <w:r>
              <w:t xml:space="preserve">Healthy Controls</w:t>
            </w:r>
          </w:p>
        </w:tc>
        <w:tc>
          <w:tcPr/>
          <w:p>
            <w:pPr>
              <w:pStyle w:val="Compact"/>
            </w:pPr>
            <w:r>
              <w:t xml:space="preserve">MDD</w:t>
            </w:r>
          </w:p>
        </w:tc>
        <w:tc>
          <w:tcPr/>
          <w:p>
            <w:pPr>
              <w:pStyle w:val="Compact"/>
            </w:pPr>
            <w:r>
              <w:t xml:space="preserve">OCD</w:t>
            </w:r>
          </w:p>
        </w:tc>
        <w:tc>
          <w:tcPr/>
          <w:p>
            <w:pPr>
              <w:pStyle w:val="Compact"/>
            </w:pPr>
            <w:r>
              <w:t xml:space="preserve">PD</w:t>
            </w:r>
          </w:p>
        </w:tc>
      </w:tr>
      <w:tr>
        <w:tc>
          <w:tcPr/>
          <w:p>
            <w:pPr>
              <w:pStyle w:val="Compact"/>
            </w:pPr>
            <w:r>
              <w:t xml:space="preserve">Task-switch cost (RT)</w:t>
            </w:r>
          </w:p>
        </w:tc>
        <w:tc>
          <w:tcPr/>
          <w:p>
            <w:pPr>
              <w:pStyle w:val="Compact"/>
            </w:pPr>
            <w:r>
              <w:t xml:space="preserve">Low</w:t>
            </w:r>
          </w:p>
        </w:tc>
        <w:tc>
          <w:tcPr/>
          <w:p>
            <w:pPr>
              <w:pStyle w:val="Compact"/>
            </w:pPr>
            <w:r>
              <w:t xml:space="preserve">Moderate–High</w:t>
            </w:r>
          </w:p>
        </w:tc>
        <w:tc>
          <w:tcPr/>
          <w:p>
            <w:pPr>
              <w:pStyle w:val="Compact"/>
            </w:pPr>
            <w:r>
              <w:t xml:space="preserve">High (domain-specific)</w:t>
            </w:r>
          </w:p>
        </w:tc>
        <w:tc>
          <w:tcPr/>
          <w:p>
            <w:pPr>
              <w:pStyle w:val="Compact"/>
            </w:pPr>
            <w:r>
              <w:t xml:space="preserve">High (motor-specific)</w:t>
            </w:r>
          </w:p>
        </w:tc>
      </w:tr>
      <w:tr>
        <w:tc>
          <w:tcPr/>
          <w:p>
            <w:pPr>
              <w:pStyle w:val="Compact"/>
            </w:pPr>
            <w:r>
              <w:t xml:space="preserve">Perseverative errors</w:t>
            </w:r>
          </w:p>
        </w:tc>
        <w:tc>
          <w:tcPr/>
          <w:p>
            <w:pPr>
              <w:pStyle w:val="Compact"/>
            </w:pPr>
            <w:r>
              <w:t xml:space="preserve">Low</w:t>
            </w:r>
          </w:p>
        </w:tc>
        <w:tc>
          <w:tcPr/>
          <w:p>
            <w:pPr>
              <w:pStyle w:val="Compact"/>
            </w:pPr>
            <w:r>
              <w:t xml:space="preserve">Moderate</w:t>
            </w:r>
          </w:p>
        </w:tc>
        <w:tc>
          <w:tcPr/>
          <w:p>
            <w:pPr>
              <w:pStyle w:val="Compact"/>
            </w:pPr>
            <w:r>
              <w:t xml:space="preserve">High</w:t>
            </w:r>
          </w:p>
        </w:tc>
        <w:tc>
          <w:tcPr/>
          <w:p>
            <w:pPr>
              <w:pStyle w:val="Compact"/>
            </w:pPr>
            <w:r>
              <w:t xml:space="preserve">Low–Moderate</w:t>
            </w:r>
          </w:p>
        </w:tc>
      </w:tr>
      <w:tr>
        <w:tc>
          <w:tcPr/>
          <w:p>
            <w:pPr>
              <w:pStyle w:val="Compact"/>
            </w:pPr>
            <w:r>
              <w:t xml:space="preserve">Temporal discounting</w:t>
            </w:r>
          </w:p>
        </w:tc>
        <w:tc>
          <w:tcPr/>
          <w:p>
            <w:pPr>
              <w:pStyle w:val="Compact"/>
            </w:pPr>
            <w:r>
              <w:t xml:space="preserve">Moderate</w:t>
            </w:r>
          </w:p>
        </w:tc>
        <w:tc>
          <w:tcPr/>
          <w:p>
            <w:pPr>
              <w:pStyle w:val="Compact"/>
            </w:pPr>
            <w:r>
              <w:t xml:space="preserve">High</w:t>
            </w:r>
          </w:p>
        </w:tc>
        <w:tc>
          <w:tcPr/>
          <w:p>
            <w:pPr>
              <w:pStyle w:val="Compact"/>
            </w:pPr>
            <w:r>
              <w:t xml:space="preserve">Moderate</w:t>
            </w:r>
          </w:p>
        </w:tc>
        <w:tc>
          <w:tcPr/>
          <w:p>
            <w:pPr>
              <w:pStyle w:val="Compact"/>
            </w:pPr>
            <w:r>
              <w:t xml:space="preserve">Low–Moderate</w:t>
            </w:r>
          </w:p>
        </w:tc>
      </w:tr>
      <w:tr>
        <w:tc>
          <w:tcPr/>
          <w:p>
            <w:pPr>
              <w:pStyle w:val="Compact"/>
            </w:pPr>
            <w:r>
              <w:t xml:space="preserve">HRV recovery slope</w:t>
            </w:r>
          </w:p>
        </w:tc>
        <w:tc>
          <w:tcPr/>
          <w:p>
            <w:pPr>
              <w:pStyle w:val="Compact"/>
            </w:pPr>
            <w:r>
              <w:t xml:space="preserve">Fast</w:t>
            </w:r>
          </w:p>
        </w:tc>
        <w:tc>
          <w:tcPr/>
          <w:p>
            <w:pPr>
              <w:pStyle w:val="Compact"/>
            </w:pPr>
            <w:r>
              <w:t xml:space="preserve">Slow</w:t>
            </w:r>
          </w:p>
        </w:tc>
        <w:tc>
          <w:tcPr/>
          <w:p>
            <w:pPr>
              <w:pStyle w:val="Compact"/>
            </w:pPr>
            <w:r>
              <w:t xml:space="preserve">Moderate</w:t>
            </w:r>
          </w:p>
        </w:tc>
        <w:tc>
          <w:tcPr/>
          <w:p>
            <w:pPr>
              <w:pStyle w:val="Compact"/>
            </w:pPr>
            <w:r>
              <w:t xml:space="preserve">Moderate</w:t>
            </w:r>
          </w:p>
        </w:tc>
      </w:tr>
      <w:tr>
        <w:tc>
          <w:tcPr/>
          <w:p>
            <w:pPr>
              <w:pStyle w:val="Compact"/>
            </w:pPr>
            <w:r>
              <w:t xml:space="preserve">Cortisol curve</w:t>
            </w:r>
          </w:p>
        </w:tc>
        <w:tc>
          <w:tcPr/>
          <w:p>
            <w:pPr>
              <w:pStyle w:val="Compact"/>
            </w:pPr>
            <w:r>
              <w:t xml:space="preserve">Normal</w:t>
            </w:r>
          </w:p>
        </w:tc>
        <w:tc>
          <w:tcPr/>
          <w:p>
            <w:pPr>
              <w:pStyle w:val="Compact"/>
            </w:pPr>
            <w:r>
              <w:t xml:space="preserve">Flattened</w:t>
            </w:r>
          </w:p>
        </w:tc>
        <w:tc>
          <w:tcPr/>
          <w:p>
            <w:pPr>
              <w:pStyle w:val="Compact"/>
            </w:pPr>
            <w:r>
              <w:t xml:space="preserve">Normal</w:t>
            </w:r>
          </w:p>
        </w:tc>
        <w:tc>
          <w:tcPr/>
          <w:p>
            <w:pPr>
              <w:pStyle w:val="Compact"/>
            </w:pPr>
            <w:r>
              <w:t xml:space="preserve">Normal</w:t>
            </w:r>
          </w:p>
        </w:tc>
      </w:tr>
      <w:tr>
        <w:tc>
          <w:tcPr/>
          <w:p>
            <w:pPr>
              <w:pStyle w:val="Compact"/>
            </w:pPr>
            <w:r>
              <w:t xml:space="preserve">SCR during conflict</w:t>
            </w:r>
          </w:p>
        </w:tc>
        <w:tc>
          <w:tcPr/>
          <w:p>
            <w:pPr>
              <w:pStyle w:val="Compact"/>
            </w:pPr>
            <w:r>
              <w:t xml:space="preserve">Moderate</w:t>
            </w:r>
          </w:p>
        </w:tc>
        <w:tc>
          <w:tcPr/>
          <w:p>
            <w:pPr>
              <w:pStyle w:val="Compact"/>
            </w:pPr>
            <w:r>
              <w:t xml:space="preserve">Low (blunted)</w:t>
            </w:r>
          </w:p>
        </w:tc>
        <w:tc>
          <w:tcPr/>
          <w:p>
            <w:pPr>
              <w:pStyle w:val="Compact"/>
            </w:pPr>
            <w:r>
              <w:t xml:space="preserve">High (cue-specific)</w:t>
            </w:r>
          </w:p>
        </w:tc>
        <w:tc>
          <w:tcPr/>
          <w:p>
            <w:pPr>
              <w:pStyle w:val="Compact"/>
            </w:pPr>
            <w:r>
              <w:t xml:space="preserve">High (initiation-specific)</w:t>
            </w:r>
          </w:p>
        </w:tc>
      </w:tr>
      <w:tr>
        <w:tc>
          <w:tcPr/>
          <w:p>
            <w:pPr>
              <w:pStyle w:val="Compact"/>
            </w:pPr>
            <w:r>
              <w:t xml:space="preserve">ROS biomarkers</w:t>
            </w:r>
          </w:p>
        </w:tc>
        <w:tc>
          <w:tcPr/>
          <w:p>
            <w:pPr>
              <w:pStyle w:val="Compact"/>
            </w:pPr>
            <w:r>
              <w:t xml:space="preserve">Normal</w:t>
            </w:r>
          </w:p>
        </w:tc>
        <w:tc>
          <w:tcPr/>
          <w:p>
            <w:pPr>
              <w:pStyle w:val="Compact"/>
            </w:pPr>
            <w:r>
              <w:t xml:space="preserve">Elevated</w:t>
            </w:r>
          </w:p>
        </w:tc>
        <w:tc>
          <w:tcPr/>
          <w:p>
            <w:pPr>
              <w:pStyle w:val="Compact"/>
            </w:pPr>
            <w:r>
              <w:t xml:space="preserve">Normal–Mild</w:t>
            </w:r>
          </w:p>
        </w:tc>
        <w:tc>
          <w:tcPr/>
          <w:p>
            <w:pPr>
              <w:pStyle w:val="Compact"/>
            </w:pPr>
            <w:r>
              <w:t xml:space="preserve">Moderate</w:t>
            </w:r>
          </w:p>
        </w:tc>
      </w:tr>
      <w:tr>
        <w:tc>
          <w:tcPr/>
          <w:p>
            <w:pPr>
              <w:pStyle w:val="Compact"/>
            </w:pPr>
            <w:r>
              <w:t xml:space="preserve">PCI</w:t>
            </w:r>
          </w:p>
        </w:tc>
        <w:tc>
          <w:tcPr/>
          <w:p>
            <w:pPr>
              <w:pStyle w:val="Compact"/>
            </w:pPr>
            <w:r>
              <w:t xml:space="preserve">High</w:t>
            </w:r>
          </w:p>
        </w:tc>
        <w:tc>
          <w:tcPr/>
          <w:p>
            <w:pPr>
              <w:pStyle w:val="Compact"/>
            </w:pPr>
            <w:r>
              <w:t xml:space="preserve">Reduced</w:t>
            </w:r>
          </w:p>
        </w:tc>
        <w:tc>
          <w:tcPr/>
          <w:p>
            <w:pPr>
              <w:pStyle w:val="Compact"/>
            </w:pPr>
            <w:r>
              <w:t xml:space="preserve">Preserved</w:t>
            </w:r>
          </w:p>
        </w:tc>
        <w:tc>
          <w:tcPr/>
          <w:p>
            <w:pPr>
              <w:pStyle w:val="Compact"/>
            </w:pPr>
            <w:r>
              <w:t xml:space="preserve">Reduced (motor cortex)</w:t>
            </w:r>
          </w:p>
        </w:tc>
      </w:tr>
      <w:tr>
        <w:tc>
          <w:tcPr/>
          <w:p>
            <w:pPr>
              <w:pStyle w:val="Compact"/>
            </w:pPr>
            <w:r>
              <w:t xml:space="preserve">Theta-gamma coupling</w:t>
            </w:r>
          </w:p>
        </w:tc>
        <w:tc>
          <w:tcPr/>
          <w:p>
            <w:pPr>
              <w:pStyle w:val="Compact"/>
            </w:pPr>
            <w:r>
              <w:t xml:space="preserve">Intact</w:t>
            </w:r>
          </w:p>
        </w:tc>
        <w:tc>
          <w:tcPr/>
          <w:p>
            <w:pPr>
              <w:pStyle w:val="Compact"/>
            </w:pPr>
            <w:r>
              <w:t xml:space="preserve">Degraded</w:t>
            </w:r>
          </w:p>
        </w:tc>
        <w:tc>
          <w:tcPr/>
          <w:p>
            <w:pPr>
              <w:pStyle w:val="Compact"/>
            </w:pPr>
            <w:r>
              <w:t xml:space="preserve">Intact</w:t>
            </w:r>
          </w:p>
        </w:tc>
        <w:tc>
          <w:tcPr/>
          <w:p>
            <w:pPr>
              <w:pStyle w:val="Compact"/>
            </w:pPr>
            <w:r>
              <w:t xml:space="preserve">Intact (cognitive)</w:t>
            </w:r>
          </w:p>
        </w:tc>
      </w:tr>
      <w:tr>
        <w:tc>
          <w:tcPr/>
          <w:p>
            <w:pPr>
              <w:pStyle w:val="Compact"/>
            </w:pPr>
            <ns3:oMath>
              <ns3:sSub>
                <ns3:e>
                  <ns3:r>
                    <ns3:t>μ</ns3:t>
                  </ns3:r>
                </ns3:e>
                <ns3:sub>
                  <ns3:r>
                    <ns3:rPr>
                      <ns3:nor/>
                      <ns3:sty ns3:val="p"/>
                    </ns3:rPr>
                    <ns3:t>sem</ns3:t>
                  </ns3:r>
                </ns3:sub>
              </ns3:sSub>
            </ns3:oMath>
          </w:p>
        </w:tc>
        <w:tc>
          <w:tcPr/>
          <w:p>
            <w:pPr>
              <w:pStyle w:val="Compact"/>
            </w:pPr>
            <w:r>
              <w:t xml:space="preserve">Low</w:t>
            </w:r>
          </w:p>
        </w:tc>
        <w:tc>
          <w:tcPr/>
          <w:p>
            <w:pPr>
              <w:pStyle w:val="Compact"/>
            </w:pPr>
            <w:r>
              <w:t xml:space="preserve">Moderate–High</w:t>
            </w:r>
          </w:p>
        </w:tc>
        <w:tc>
          <w:tcPr/>
          <w:p>
            <w:pPr>
              <w:pStyle w:val="Compact"/>
            </w:pPr>
            <w:r>
              <w:t xml:space="preserve">Highest</w:t>
            </w:r>
          </w:p>
        </w:tc>
        <w:tc>
          <w:tcPr/>
          <w:p>
            <w:pPr>
              <w:pStyle w:val="Compact"/>
            </w:pPr>
            <w:r>
              <w:t xml:space="preserve">Moderate (motor verbs)</w:t>
            </w:r>
          </w:p>
        </w:tc>
      </w:tr>
    </w:tbl>
    <w:p>
      <w:pPr>
        <w:pStyle w:val="BodyText"/>
      </w:pPr>
      <w:r>
        <w:t xml:space="preserve">Core-chain inference in this manuscript is based primarily on behavioral + linguistic + low-cost physiological rows. ROS and neural rows are treated as expansion targets for later-phase adjudication.</w:t>
      </w:r>
    </w:p>
    <w:p>
      <w:pPr>
        <w:pStyle w:val="BodyText"/>
      </w:pPr>
      <w:r>
        <w:t xml:space="preserve">To sharpen falsifiability, we propose quantitative priors for two discriminator patterns.</w:t>
      </w:r>
      <w:r>
        <w:t xml:space="preserve"> </w:t>
      </w:r>
      <w:r>
        <w:rPr>
          <w:b/>
          <w:bCs/>
        </w:rPr>
        <w:t xml:space="preserve">Pattern A (OCD dissociation):</w:t>
      </w:r>
      <w:r>
        <w:t xml:space="preserve"> </w:t>
      </w:r>
      <w:r>
        <w:t xml:space="preserve">OCD should show higher</w:t>
      </w:r>
      <w:r>
        <w:t xml:space="preserve"> </w:t>
      </w:r>
      <ns3:oMath>
        <ns3:sSub>
          <ns3:e>
            <ns3:r>
              <ns3:t>μ</ns3:t>
            </ns3:r>
          </ns3:e>
          <ns3:sub>
            <ns3:r>
              <ns3:rPr>
                <ns3:nor/>
                <ns3:sty ns3:val="p"/>
              </ns3:rPr>
              <ns3:t>sem</ns3:t>
            </ns3:r>
          </ns3:sub>
        </ns3:sSub>
      </ns3:oMath>
      <w:r>
        <w:t xml:space="preserve"> </w:t>
      </w:r>
      <w:r>
        <w:t xml:space="preserve">than controls (</w:t>
      </w:r>
      <ns3:oMath>
        <ns3:r>
          <ns3:t>d</ns3:t>
        </ns3:r>
        <ns3:r>
          <ns3:rPr>
            <ns3:sty ns3:val="p"/>
          </ns3:rPr>
          <ns3:t>≈</ns3:t>
        </ns3:r>
        <ns3:r>
          <ns3:t>0.8</ns3:t>
        </ns3:r>
      </ns3:oMath>
      <w:r>
        <w:t xml:space="preserve">–</w:t>
      </w:r>
      <ns3:oMath>
        <ns3:r>
          <ns3:t>1.2</ns3:t>
        </ns3:r>
      </ns3:oMath>
      <w:r>
        <w:t xml:space="preserve">) and than MDD (</w:t>
      </w:r>
      <ns3:oMath>
        <ns3:r>
          <ns3:t>d</ns3:t>
        </ns3:r>
        <ns3:r>
          <ns3:rPr>
            <ns3:sty ns3:val="p"/>
          </ns3:rPr>
          <ns3:t>≈</ns3:t>
        </ns3:r>
        <ns3:r>
          <ns3:t>0.4</ns3:t>
        </ns3:r>
      </ns3:oMath>
      <w:r>
        <w:t xml:space="preserve">–</w:t>
      </w:r>
      <ns3:oMath>
        <ns3:r>
          <ns3:t>0.8</ns3:t>
        </ns3:r>
      </ns3:oMath>
      <w:r>
        <w:t xml:space="preserve">), while PCI remains near control range (</w:t>
      </w:r>
      <ns3:oMath>
        <ns3:r>
          <ns3:rPr>
            <ns3:sty ns3:val="p"/>
          </ns3:rPr>
          <ns3:t>|</ns3:t>
        </ns3:r>
        <ns3:r>
          <ns3:t>d</ns3:t>
        </ns3:r>
        <ns3:r>
          <ns3:rPr>
            <ns3:sty ns3:val="p"/>
          </ns3:rPr>
          <ns3:t>|</ns3:t>
        </ns3:r>
        <ns3:r>
          <ns3:rPr>
            <ns3:sty ns3:val="p"/>
          </ns3:rPr>
          <ns3:t>&lt;</ns3:t>
        </ns3:r>
        <ns3:r>
          <ns3:t>0.3</ns3:t>
        </ns3:r>
      </ns3:oMath>
      <w:r>
        <w:t xml:space="preserve">).</w:t>
      </w:r>
      <w:r>
        <w:t xml:space="preserve"> </w:t>
      </w:r>
      <w:r>
        <w:rPr>
          <w:b/>
          <w:bCs/>
        </w:rPr>
        <w:t xml:space="preserve">Pattern B (PD motor selectivity):</w:t>
      </w:r>
      <w:r>
        <w:t xml:space="preserve"> </w:t>
      </w:r>
      <w:r>
        <w:t xml:space="preserve">PD should show large motor-switch impairment (</w:t>
      </w:r>
      <ns3:oMath>
        <ns3:r>
          <ns3:t>d</ns3:t>
        </ns3:r>
        <ns3:r>
          <ns3:rPr>
            <ns3:sty ns3:val="p"/>
          </ns3:rPr>
          <ns3:t>&gt;</ns3:t>
        </ns3:r>
        <ns3:r>
          <ns3:t>0.8</ns3:t>
        </ns3:r>
      </ns3:oMath>
      <w:r>
        <w:t xml:space="preserve">) with smaller cognitive-switch impairment (</w:t>
      </w:r>
      <ns3:oMath>
        <ns3:r>
          <ns3:t>d</ns3:t>
        </ns3:r>
        <ns3:r>
          <ns3:rPr>
            <ns3:sty ns3:val="p"/>
          </ns3:rPr>
          <ns3:t>&lt;</ns3:t>
        </ns3:r>
        <ns3:r>
          <ns3:t>0.3</ns3:t>
        </ns3:r>
      </ns3:oMath>
      <w:r>
        <w:t xml:space="preserve">) in early-stage cohorts. In contrast, single-resource formulations (including standard single-task EVC fits or undifferentiated global-deficit accounts) typically predict more monotonic cross-domain impairment and weaker dissociation in these paired contrasts.</w:t>
      </w:r>
    </w:p>
    <w:p>
      <w:pPr>
        <w:pStyle w:val="BodyText"/>
      </w:pPr>
      <w:r>
        <w:t xml:space="preserve">These predictions are falsifiable: if, for example, OCD patients do not show the highest</w:t>
      </w:r>
      <w:r>
        <w:t xml:space="preserve"> </w:t>
      </w:r>
      <ns3:oMath>
        <ns3:sSub>
          <ns3:e>
            <ns3:r>
              <ns3:t>μ</ns3:t>
            </ns3:r>
          </ns3:e>
          <ns3:sub>
            <ns3:r>
              <ns3:rPr>
                <ns3:nor/>
                <ns3:sty ns3:val="p"/>
              </ns3:rPr>
              <ns3:t>sem</ns3:t>
            </ns3:r>
          </ns3:sub>
        </ns3:sSub>
      </ns3:oMath>
      <w:r>
        <w:t xml:space="preserve"> </w:t>
      </w:r>
      <w:r>
        <w:t xml:space="preserve">values, or if PD patients show generalized rather than motor-specific switching cost elevation, the disorder-specific</w:t>
      </w:r>
      <w:r>
        <w:t xml:space="preserve"> </w:t>
      </w:r>
      <ns3:oMath>
        <ns3:sSub>
          <ns3:e>
            <ns3:r>
              <ns3:rPr>
                <ns3:sty ns3:val="p"/>
              </ns3:rPr>
              <ns3:t>Ψ</ns3:t>
            </ns3:r>
          </ns3:e>
          <ns3:sub>
            <ns3:r>
              <ns3:t>f</ns3:t>
            </ns3:r>
          </ns3:sub>
        </ns3:sSub>
      </ns3:oMath>
      <w:r>
        <w:t xml:space="preserve"> </w:t>
      </w:r>
      <w:r>
        <w:t xml:space="preserve">models require revision.</w:t>
      </w:r>
    </w:p>
    <w:p>
      <w:pPr>
        <w:pStyle w:val="BodyText"/>
      </w:pPr>
      <w:r>
        <w:rPr>
          <w:b/>
          <w:bCs/>
        </w:rPr>
        <w:t xml:space="preserve">Figure 4.</w:t>
      </w:r>
      <w:r>
        <w:t xml:space="preserve"> </w:t>
      </w:r>
      <w:r>
        <w:rPr>
          <w:i/>
          <w:iCs/>
        </w:rPr>
        <w:t xml:space="preserve">Predicted</w:t>
      </w:r>
      <w:r>
        <w:rPr>
          <w:i/>
          <w:iCs/>
        </w:rPr>
        <w:t xml:space="preserve"> </w:t>
      </w:r>
      <ns3:oMath>
        <ns3:sSub>
          <ns3:e>
            <ns3:r>
              <ns3:rPr>
                <ns3:sty ns3:val="p"/>
              </ns3:rPr>
              <ns3:t>Ψ</ns3:t>
            </ns3:r>
          </ns3:e>
          <ns3:sub>
            <ns3:r>
              <ns3:t>f</ns3:t>
            </ns3:r>
          </ns3:sub>
        </ns3:sSub>
      </ns3:oMath>
      <w:r>
        <w:rPr>
          <w:i/>
          <w:iCs/>
        </w:rPr>
        <w:t xml:space="preserve"> </w:t>
      </w:r>
      <w:r>
        <w:rPr>
          <w:i/>
          <w:iCs/>
        </w:rPr>
        <w:t xml:space="preserve">proxy signatures across clinical conditions.</w:t>
      </w:r>
      <w:r>
        <w:t xml:space="preserve"> </w:t>
      </w:r>
      <w:r>
        <w:t xml:space="preserve">Radar chart showing disorder-specific friction profiles for healthy controls (green), major depressive disorder (red), obsessive-compulsive disorder (purple), and Parkinson’s disease (orange) across ten proxy measures. Higher values indicate greater impairment or higher ontological friction. These predictions constitute falsifiable claims derived from the</w:t>
      </w:r>
      <w:r>
        <w:t xml:space="preserve"> </w:t>
      </w:r>
      <ns3:oMath>
        <ns3:sSub>
          <ns3:e>
            <ns3:r>
              <ns3:rPr>
                <ns3:sty ns3:val="p"/>
              </ns3:rPr>
              <ns3:t>Ψ</ns3:t>
            </ns3:r>
          </ns3:e>
          <ns3:sub>
            <ns3:r>
              <ns3:t>f</ns3:t>
            </ns3:r>
          </ns3:sub>
        </ns3:sSub>
      </ns3:oMath>
      <w:r>
        <w:t xml:space="preserve"> </w:t>
      </w:r>
      <w:r>
        <w:t xml:space="preserve">framework.</w:t>
      </w:r>
    </w:p>
    <w:p>
      <w:pPr>
        <w:pStyle w:val="CaptionedFigure"/>
      </w:pPr>
      <w:r>
        <w:drawing>
          <ns4:inline>
            <ns4:extent cx="5943600" cy="5335052"/>
            <ns4:effectExtent b="0" l="0" r="0" t="0"/>
            <ns4:docPr descr="Figure 4" title="" id="41" name="Picture"/>
            <ns5:graphic>
              <ns5:graphicData uri="http://schemas.openxmlformats.org/drawingml/2006/picture">
                <ns6:pic>
                  <ns6:nvPicPr>
                    <ns6:cNvPr descr="figures/fig3_clinical_radar.png" id="42" name="Picture"/>
                    <ns6:cNvPicPr>
                      <ns5:picLocks noChangeArrowheads="1" noChangeAspect="1"/>
                    </ns6:cNvPicPr>
                  </ns6:nvPicPr>
                  <ns6:blipFill>
                    <ns5:blip r:embed="rId40"/>
                    <ns5:stretch>
                      <ns5:fillRect/>
                    </ns5:stretch>
                  </ns6:blipFill>
                  <ns6:spPr bwMode="auto">
                    <ns5:xfrm>
                      <ns5:off x="0" y="0"/>
                      <ns5:ext cx="5943600" cy="5335052"/>
                    </ns5:xfrm>
                    <ns5:prstGeom prst="rect">
                      <ns5:avLst/>
                    </ns5:prstGeom>
                    <ns5:noFill/>
                    <ns5:ln w="9525">
                      <ns5:noFill/>
                      <ns5:headEnd/>
                      <ns5:tailEnd/>
                    </ns5:ln>
                  </ns6:spPr>
                </ns6:pic>
              </ns5:graphicData>
            </ns5:graphic>
          </ns4:inline>
        </w:drawing>
      </w:r>
    </w:p>
    <w:p>
      <w:pPr>
        <w:pStyle w:val="ImageCaption"/>
      </w:pPr>
      <w:r>
        <w:t xml:space="preserve">Figure 4</w:t>
      </w:r>
    </w:p>
    <w:bookmarkEnd w:id="43"/>
    <w:bookmarkStart w:id="44" w:name="X2c054530f1ba216fead8ac98dccc671c0805e69"/>
    <w:p>
      <w:pPr>
        <w:pStyle w:val="Heading3"/>
      </w:pPr>
      <w:r>
        <w:t xml:space="preserve">4.5 Competing Explanations and Decisive Phase-2 Tests</w:t>
      </w:r>
    </w:p>
    <w:p>
      <w:pPr>
        <w:pStyle w:val="FirstParagraph"/>
      </w:pPr>
      <w:r>
        <w:t xml:space="preserve">To reduce over-interpretation risk, each disorder signature is paired with a concrete competing explanation and a decisive phase-2 contrast:</w:t>
      </w:r>
    </w:p>
    <w:p>
      <w:pPr>
        <w:pStyle w:val="Compact"/>
        <w:numPr>
          <w:ilvl w:val="0"/>
          <w:numId w:val="1004"/>
        </w:numPr>
      </w:pPr>
      <w:r>
        <w:rPr>
          <w:b/>
          <w:bCs/>
        </w:rPr>
        <w:t xml:space="preserve">MDD:</w:t>
      </w:r>
      <w:r>
        <w:t xml:space="preserve"> </w:t>
      </w:r>
      <w:r>
        <w:t xml:space="preserve">versus generic symptom-severity accounts. Decisive test: whether high</w:t>
      </w:r>
      <w:r>
        <w:t xml:space="preserve"> </w:t>
      </w:r>
      <ns3:oMath>
        <ns3:sSub>
          <ns3:e>
            <ns3:r>
              <ns3:rPr>
                <ns3:sty ns3:val="p"/>
              </ns3:rPr>
              <ns3:t>Ψ</ns3:t>
            </ns3:r>
          </ns3:e>
          <ns3:sub>
            <ns3:r>
              <ns3:t>f</ns3:t>
            </ns3:r>
          </ns3:sub>
        </ns3:sSub>
      </ns3:oMath>
      <w:r>
        <w:t xml:space="preserve"> </w:t>
      </w:r>
      <w:r>
        <w:t xml:space="preserve">profile predicts a specific combination (high temporal discounting + slow HRV recovery + elevated</w:t>
      </w:r>
      <w:r>
        <w:t xml:space="preserve"> </w:t>
      </w:r>
      <ns3:oMath>
        <ns3:sSub>
          <ns3:e>
            <ns3:r>
              <ns3:t>μ</ns3:t>
            </ns3:r>
          </ns3:e>
          <ns3:sub>
            <ns3:r>
              <ns3:rPr>
                <ns3:nor/>
                <ns3:sty ns3:val="p"/>
              </ns3:rPr>
              <ns3:t>sem</ns3:t>
            </ns3:r>
          </ns3:sub>
        </ns3:sSub>
      </ns3:oMath>
      <w:r>
        <w:t xml:space="preserve">) rather than uniform global impairment alone.</w:t>
      </w:r>
    </w:p>
    <w:p>
      <w:pPr>
        <w:pStyle w:val="Compact"/>
        <w:numPr>
          <w:ilvl w:val="0"/>
          <w:numId w:val="1004"/>
        </w:numPr>
      </w:pPr>
      <w:r>
        <w:rPr>
          <w:b/>
          <w:bCs/>
        </w:rPr>
        <w:t xml:space="preserve">OCD:</w:t>
      </w:r>
      <w:r>
        <w:t xml:space="preserve"> </w:t>
      </w:r>
      <w:r>
        <w:t xml:space="preserve">versus generalized anxiety/rumination accounts. Decisive test: domain-specific switching viscosity plus highest</w:t>
      </w:r>
      <w:r>
        <w:t xml:space="preserve"> </w:t>
      </w:r>
      <ns3:oMath>
        <ns3:sSub>
          <ns3:e>
            <ns3:r>
              <ns3:t>μ</ns3:t>
            </ns3:r>
          </ns3:e>
          <ns3:sub>
            <ns3:r>
              <ns3:rPr>
                <ns3:nor/>
                <ns3:sty ns3:val="p"/>
              </ns3:rPr>
              <ns3:t>sem</ns3:t>
            </ns3:r>
          </ns3:sub>
        </ns3:sSub>
      </ns3:oMath>
      <w:r>
        <w:t xml:space="preserve"> </w:t>
      </w:r>
      <w:r>
        <w:t xml:space="preserve">under preserved global PCI-range indices in expansion cohorts.</w:t>
      </w:r>
    </w:p>
    <w:p>
      <w:pPr>
        <w:pStyle w:val="Compact"/>
        <w:numPr>
          <w:ilvl w:val="0"/>
          <w:numId w:val="1004"/>
        </w:numPr>
      </w:pPr>
      <w:r>
        <w:rPr>
          <w:b/>
          <w:bCs/>
        </w:rPr>
        <w:t xml:space="preserve">PD:</w:t>
      </w:r>
      <w:r>
        <w:t xml:space="preserve"> </w:t>
      </w:r>
      <w:r>
        <w:t xml:space="preserve">versus global psychomotor slowing. Decisive test: motor-selective switch impairment with comparatively preserved cognitive switching in early-stage cohorts, plus initiation-specific autonomic spikes.</w:t>
      </w:r>
    </w:p>
    <w:p>
      <w:pPr>
        <w:pStyle w:val="FirstParagraph"/>
      </w:pPr>
      <w:r>
        <w:t xml:space="preserve">If these contrasts fail, the clinical mapping should be downgraded to transdiagnostic severity effects rather than disorder-specific signatures.</w:t>
      </w:r>
    </w:p>
    <w:p>
      <w:r>
        <w:pict>
          <ns1:rect style="width:0;height:1.5pt" ns2:hralign="center" ns2:hrstd="t" ns2:hr="t"/>
        </w:pict>
      </w:r>
    </w:p>
    <w:bookmarkEnd w:id="44"/>
    <w:bookmarkEnd w:id="45"/>
    <w:bookmarkStart w:id="55" w:name="Xbfed5f353c08cd6986e4d7a7fbcc9f55d9a07bd"/>
    <w:p>
      <w:pPr>
        <w:pStyle w:val="Heading2"/>
      </w:pPr>
      <w:r>
        <w:t xml:space="preserve">5. Falsifiable Hypotheses and Proposed Experimental Protocols</w:t>
      </w:r>
    </w:p>
    <w:p>
      <w:pPr>
        <w:pStyle w:val="FirstParagraph"/>
      </w:pPr>
      <w:r>
        <w:t xml:space="preserve">We now present five pre-registration-ready hypotheses derived from the</w:t>
      </w:r>
      <w:r>
        <w:t xml:space="preserve"> </w:t>
      </w:r>
      <ns3:oMath>
        <ns3:sSub>
          <ns3:e>
            <ns3:r>
              <ns3:rPr>
                <ns3:sty ns3:val="p"/>
              </ns3:rPr>
              <ns3:t>Ψ</ns3:t>
            </ns3:r>
          </ns3:e>
          <ns3:sub>
            <ns3:r>
              <ns3:t>f</ns3:t>
            </ns3:r>
          </ns3:sub>
        </ns3:sSub>
      </ns3:oMath>
      <w:r>
        <w:t xml:space="preserve"> </w:t>
      </w:r>
      <w:r>
        <w:t xml:space="preserve">framework. Each hypothesis specifies the prediction, the falsification criterion, the required sample size, and the core measurement protocol. We emphasize that these hypotheses are designed to be</w:t>
      </w:r>
      <w:r>
        <w:t xml:space="preserve"> </w:t>
      </w:r>
      <w:r>
        <w:rPr>
          <w:i/>
          <w:iCs/>
        </w:rPr>
        <w:t xml:space="preserve">individually falsifiable</w:t>
      </w:r>
      <w:r>
        <w:t xml:space="preserve"> </w:t>
      </w:r>
      <w:r>
        <w:t xml:space="preserve">— rejection of any single hypothesis does not invalidate the entire framework but constrains its scope.</w:t>
      </w:r>
    </w:p>
    <w:bookmarkStart w:id="46" w:name="X661f53b3f6f4bf0ea22635acb5fbf3bf8a80e05"/>
    <w:p>
      <w:pPr>
        <w:pStyle w:val="Heading3"/>
      </w:pPr>
      <w:r>
        <w:t xml:space="preserve">5.1 Hypothesis H72: Modal Verb Patterns Reflect Ontological Friction</w:t>
      </w:r>
    </w:p>
    <w:p>
      <w:pPr>
        <w:pStyle w:val="FirstParagraph"/>
      </w:pPr>
      <w:r>
        <w:rPr>
          <w:b/>
          <w:bCs/>
        </w:rPr>
        <w:t xml:space="preserve">Prediction.</w:t>
      </w:r>
      <w:r>
        <w:t xml:space="preserve"> </w:t>
      </w:r>
      <w:r>
        <w:t xml:space="preserve">Within-subject adjusted modal ratio</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(Equation 10a) is higher in</w:t>
      </w:r>
      <w:r>
        <w:t xml:space="preserve"> </w:t>
      </w:r>
      <w:r>
        <w:rPr>
          <w:b/>
          <w:bCs/>
        </w:rPr>
        <w:t xml:space="preserve">self-decision narratives</w:t>
      </w:r>
      <w:r>
        <w:t xml:space="preserve"> </w:t>
      </w:r>
      <w:r>
        <w:t xml:space="preserve">than in</w:t>
      </w:r>
      <w:r>
        <w:t xml:space="preserve"> </w:t>
      </w:r>
      <w:r>
        <w:rPr>
          <w:b/>
          <w:bCs/>
        </w:rPr>
        <w:t xml:space="preserve">neutral factual retell</w:t>
      </w:r>
      <w:r>
        <w:t xml:space="preserve"> </w:t>
      </w:r>
      <w:r>
        <w:t xml:space="preserve">prompts, and the context contrast</w:t>
      </w:r>
      <w:r>
        <w:t xml:space="preserve"> </w:t>
      </w:r>
      <ns3:oMath>
        <ns3:r>
          <ns3:rPr>
            <ns3:sty ns3:val="p"/>
          </ns3:rPr>
          <ns3:t>Δ</ns3:t>
        </ns3:r>
        <ns3:sSubSup>
          <ns3:e>
            <ns3:r>
              <ns3:t>μ</ns3:t>
            </ns3:r>
          </ns3:e>
          <ns3:sub>
            <ns3:r>
              <ns3:rPr>
                <ns3:nor/>
                <ns3:sty ns3:val="p"/>
              </ns3:rPr>
              <ns3:t>sem</ns3:t>
            </ns3:r>
          </ns3:sub>
          <ns3:sup>
            <ns3:r>
              <ns3:rPr>
                <ns3:nor/>
                <ns3:sty ns3:val="p"/>
              </ns3:rPr>
              <ns3:t>adj</ns3:t>
            </ns3:r>
          </ns3:sup>
        </ns3:sSubSup>
      </ns3:oMath>
      <w:r>
        <w:t xml:space="preserve"> </w:t>
      </w:r>
      <w:r>
        <w:t xml:space="preserve">correlates positively with behavioral</w:t>
      </w:r>
      <w:r>
        <w:t xml:space="preserve"> </w:t>
      </w:r>
      <ns3:oMath>
        <ns3:sSub>
          <ns3:e>
            <ns3:r>
              <ns3:rPr>
                <ns3:sty ns3:val="p"/>
              </ns3:rPr>
              <ns3:t>Ψ</ns3:t>
            </ns3:r>
          </ns3:e>
          <ns3:sub>
            <ns3:r>
              <ns3:t>f</ns3:t>
            </ns3:r>
          </ns3:sub>
        </ns3:sSub>
      </ns3:oMath>
      <w:r>
        <w:t xml:space="preserve"> </w:t>
      </w:r>
      <w:r>
        <w:t xml:space="preserve">composite (task-switch cost + Stroop interference + perseverative errors) with</w:t>
      </w:r>
      <w:r>
        <w:t xml:space="preserve"> </w:t>
      </w:r>
      <ns3:oMath>
        <ns3:r>
          <ns3:t>r</ns3:t>
        </ns3:r>
        <ns3:r>
          <ns3:rPr>
            <ns3:sty ns3:val="p"/>
          </ns3:rPr>
          <ns3:t>&gt;</ns3:t>
        </ns3:r>
        <ns3:r>
          <ns3:t>0.30</ns3:t>
        </ns3:r>
      </ns3:oMath>
      <w:r>
        <w:t xml:space="preserve">, and negatively with HRV recovery slope with</w:t>
      </w:r>
      <w:r>
        <w:t xml:space="preserve"> </w:t>
      </w:r>
      <ns3:oMath>
        <ns3:r>
          <ns3:t>r</ns3:t>
        </ns3:r>
        <ns3:r>
          <ns3:rPr>
            <ns3:sty ns3:val="p"/>
          </ns3:rPr>
          <ns3:t>&lt;</ns3:t>
        </ns3:r>
        <ns3:r>
          <ns3:rPr>
            <ns3:sty ns3:val="p"/>
          </ns3:rPr>
          <ns3:t>−</ns3:t>
        </ns3:r>
        <ns3:r>
          <ns3:t>0.30</ns3:t>
        </ns3:r>
      </ns3:oMath>
      <w:r>
        <w:t xml:space="preserve">. We further predict incremental validity after adding symptom controls (PHQ-9, GAD-7, or equivalent), affective-word ratio, and block-wise appraisal ratings.</w:t>
      </w:r>
    </w:p>
    <w:p>
      <w:pPr>
        <w:pStyle w:val="BodyText"/>
      </w:pPr>
      <w:r>
        <w:rPr>
          <w:b/>
          <w:bCs/>
        </w:rPr>
        <w:t xml:space="preserve">Protocol.</w:t>
      </w:r>
      <w:r>
        <w:t xml:space="preserve"> </w:t>
      </w:r>
      <ns3:oMath>
        <ns3:r>
          <ns3:t>N</ns3:t>
        </ns3:r>
        <ns3:r>
          <ns3:rPr>
            <ns3:sty ns3:val="p"/>
          </ns3:rPr>
          <ns3:t>=</ns3:t>
        </ns3:r>
        <ns3:r>
          <ns3:t>120</ns3:t>
        </ns3:r>
      </ns3:oMath>
      <w:r>
        <w:t xml:space="preserve"> </w:t>
      </w:r>
      <w:r>
        <w:t xml:space="preserve">healthy adults, tested in three sessions over six weeks. Each session includes: (1) two fixed prompt blocks (neutral factual retell and self-decision narrative; total 15 minutes), recorded and transcribed; (2) behavioral battery (task switching, Stroop, WCST); and (3) HRV + SCR recording (cortisol optional for the core chain). Prompt administration is standardized: factual block uses a fixed non-evaluative script (e.g.,</w:t>
      </w:r>
      <w:r>
        <w:t xml:space="preserve"> </w:t>
      </w:r>
      <w:r>
        <w:t xml:space="preserve">“describe yesterday’s routine chronologically”</w:t>
      </w:r>
      <w:r>
        <w:t xml:space="preserve">), decision block uses a fixed self-choice script (e.g.,</w:t>
      </w:r>
      <w:r>
        <w:t xml:space="preserve"> </w:t>
      </w:r>
      <w:r>
        <w:t xml:space="preserve">“describe an unresolved decision and candidate actions”</w:t>
      </w:r>
      <w:r>
        <w:t xml:space="preserve">), each with fixed speaking duration and counterbalanced order across sessions. After each block, participants provide a 0-100 challenge/threat appraisal score used in Equation (4)-linked analyses.</w:t>
      </w:r>
      <w:r>
        <w:t xml:space="preserve"> </w:t>
      </w:r>
      <ns3:oMath>
        <ns3:sSub>
          <ns3:e>
            <ns3:r>
              <ns3:t>μ</ns3:t>
            </ns3:r>
          </ns3:e>
          <ns3:sub>
            <ns3:r>
              <ns3:rPr>
                <ns3:nor/>
                <ns3:sty ns3:val="p"/>
              </ns3:rPr>
              <ns3:t>sem</ns3:t>
            </ns3:r>
          </ns3:sub>
        </ns3:sSub>
      </ns3:oMath>
      <w:r>
        <w:t xml:space="preserve"> </w:t>
      </w:r>
      <w:r>
        <w:t xml:space="preserve">is extracted with a pre-registered modal dictionary and residualized using Equation (10a). Interviewer identity is modeled as a random effect (random intercept plus context slope when estimable). Samples with fewer than 10 modal tokens are excluded a priori.</w:t>
      </w:r>
    </w:p>
    <w:p>
      <w:pPr>
        <w:pStyle w:val="BodyText"/>
      </w:pPr>
      <w:r>
        <w:rPr>
          <w:b/>
          <w:bCs/>
        </w:rPr>
        <w:t xml:space="preserve">Statistical analysis.</w:t>
      </w:r>
      <w:r>
        <w:t xml:space="preserve"> </w:t>
      </w:r>
      <w:r>
        <w:t xml:space="preserve">Multilevel models with random intercepts and slopes are used for within-subject association tests. Primary fixed effects are context (decision vs factual),</w:t>
      </w:r>
      <w:r>
        <w:t xml:space="preserve"> </w:t>
      </w:r>
      <ns3:oMath>
        <ns3:r>
          <ns3:rPr>
            <ns3:sty ns3:val="p"/>
          </ns3:rPr>
          <ns3:t>Δ</ns3:t>
        </ns3:r>
        <ns3:sSubSup>
          <ns3:e>
            <ns3:r>
              <ns3:t>μ</ns3:t>
            </ns3:r>
          </ns3:e>
          <ns3:sub>
            <ns3:r>
              <ns3:rPr>
                <ns3:nor/>
                <ns3:sty ns3:val="p"/>
              </ns3:rPr>
              <ns3:t>sem</ns3:t>
            </ns3:r>
          </ns3:sub>
          <ns3:sup>
            <ns3:r>
              <ns3:rPr>
                <ns3:nor/>
                <ns3:sty ns3:val="p"/>
              </ns3:rPr>
              <ns3:t>adj</ns3:t>
            </ns3:r>
          </ns3:sup>
        </ns3:sSubSup>
      </ns3:oMath>
      <w:r>
        <w:t xml:space="preserve">, block-wise appraisal, and their links to behavioral/HRV outcomes. Incremental validity is tested via</w:t>
      </w:r>
      <w:r>
        <w:t xml:space="preserve"> </w:t>
      </w:r>
      <ns3:oMath>
        <ns3:r>
          <ns3:rPr>
            <ns3:sty ns3:val="p"/>
          </ns3:rPr>
          <ns3:t>Δ</ns3:t>
        </ns3:r>
        <ns3:sSup>
          <ns3:e>
            <ns3:r>
              <ns3:t>R</ns3:t>
            </ns3:r>
          </ns3:e>
          <ns3:sup>
            <ns3:r>
              <ns3:t>2</ns3:t>
            </ns3:r>
          </ns3:sup>
        </ns3:sSup>
      </ns3:oMath>
      <w:r>
        <w:t xml:space="preserve"> </w:t>
      </w:r>
      <w:r>
        <w:t xml:space="preserve">after adding PHQ-9 and GAD-7 (Kroenke et al., 2001; Spitzer et al., 2006) or equivalent symptom scales, plus affective-word ratio. If multilingual cohorts are used, configural/metric invariance is tested before pooled confirmatory inference. Test-retest reliability is assessed via ICC for both raw</w:t>
      </w:r>
      <w:r>
        <w:t xml:space="preserve"> </w:t>
      </w:r>
      <ns3:oMath>
        <ns3:sSub>
          <ns3:e>
            <ns3:r>
              <ns3:t>μ</ns3:t>
            </ns3:r>
          </ns3:e>
          <ns3:sub>
            <ns3:r>
              <ns3:rPr>
                <ns3:nor/>
                <ns3:sty ns3:val="p"/>
              </ns3:rPr>
              <ns3:t>sem</ns3:t>
            </ns3:r>
          </ns3:sub>
        </ns3:sSub>
      </ns3:oMath>
      <w:r>
        <w:t xml:space="preserve"> </w:t>
      </w:r>
      <w:r>
        <w:t xml:space="preserve">and adjusted</w:t>
      </w:r>
      <w:r>
        <w:t xml:space="preserve"> </w:t>
      </w:r>
      <ns3:oMath>
        <ns3:sSubSup>
          <ns3:e>
            <ns3:r>
              <ns3:t>μ</ns3:t>
            </ns3:r>
          </ns3:e>
          <ns3:sub>
            <ns3:r>
              <ns3:rPr>
                <ns3:nor/>
                <ns3:sty ns3:val="p"/>
              </ns3:rPr>
              <ns3:t>sem</ns3:t>
            </ns3:r>
          </ns3:sub>
          <ns3:sup>
            <ns3:r>
              <ns3:rPr>
                <ns3:nor/>
                <ns3:sty ns3:val="p"/>
              </ns3:rPr>
              <ns3:t>adj</ns3:t>
            </ns3:r>
          </ns3:sup>
        </ns3:sSubSup>
      </ns3:oMath>
      <w:r>
        <w:t xml:space="preserve">.</w:t>
      </w:r>
    </w:p>
    <w:p>
      <w:pPr>
        <w:pStyle w:val="BodyText"/>
      </w:pPr>
      <w:r>
        <w:rPr>
          <w:b/>
          <w:bCs/>
        </w:rPr>
        <w:t xml:space="preserve">Falsification criterion.</w:t>
      </w:r>
      <w:r>
        <w:t xml:space="preserve"> </w:t>
      </w:r>
      <w:r>
        <w:t xml:space="preserve">If (a) no decision-vs-factual context effect is observed for</w:t>
      </w:r>
      <w:r>
        <w:t xml:space="preserve"> </w:t>
      </w:r>
      <ns3:oMath>
        <ns3:sSubSup>
          <ns3:e>
            <ns3:r>
              <ns3:t>μ</ns3:t>
            </ns3:r>
          </ns3:e>
          <ns3:sub>
            <ns3:r>
              <ns3:rPr>
                <ns3:nor/>
                <ns3:sty ns3:val="p"/>
              </ns3:rPr>
              <ns3:t>sem</ns3:t>
            </ns3:r>
          </ns3:sub>
          <ns3:sup>
            <ns3:r>
              <ns3:rPr>
                <ns3:nor/>
                <ns3:sty ns3:val="p"/>
              </ns3:rPr>
              <ns3:t>adj</ns3:t>
            </ns3:r>
          </ns3:sup>
        </ns3:sSubSup>
      </ns3:oMath>
      <w:r>
        <w:t xml:space="preserve">, and (b) adjusted</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provides no incremental variance beyond symptom and affect controls (</w:t>
      </w:r>
      <ns3:oMath>
        <ns3:r>
          <ns3:rPr>
            <ns3:sty ns3:val="p"/>
          </ns3:rPr>
          <ns3:t>Δ</ns3:t>
        </ns3:r>
        <ns3:sSup>
          <ns3:e>
            <ns3:r>
              <ns3:t>R</ns3:t>
            </ns3:r>
          </ns3:e>
          <ns3:sup>
            <ns3:r>
              <ns3:t>2</ns3:t>
            </ns3:r>
          </ns3:sup>
        </ns3:sSup>
        <ns3:r>
          <ns3:rPr>
            <ns3:sty ns3:val="p"/>
          </ns3:rPr>
          <ns3:t>&lt;</ns3:t>
        </ns3:r>
        <ns3:r>
          <ns3:t>0.02</ns3:t>
        </ns3:r>
      </ns3:oMath>
      <w:r>
        <w:t xml:space="preserve">), H72 is rejected and the linguistic proxy class is removed from the core model.</w:t>
      </w:r>
    </w:p>
    <w:p>
      <w:pPr>
        <w:pStyle w:val="BodyText"/>
      </w:pPr>
      <w:r>
        <w:rPr>
          <w:b/>
          <w:bCs/>
        </w:rPr>
        <w:t xml:space="preserve">Power analysis.</w:t>
      </w:r>
      <w:r>
        <w:t xml:space="preserve"> </w:t>
      </w:r>
      <w:r>
        <w:t xml:space="preserve">With</w:t>
      </w:r>
      <w:r>
        <w:t xml:space="preserve"> </w:t>
      </w:r>
      <ns3:oMath>
        <ns3:r>
          <ns3:t>N</ns3:t>
        </ns3:r>
        <ns3:r>
          <ns3:rPr>
            <ns3:sty ns3:val="p"/>
          </ns3:rPr>
          <ns3:t>=</ns3:t>
        </ns3:r>
        <ns3:r>
          <ns3:t>120</ns3:t>
        </ns3:r>
      </ns3:oMath>
      <w:r>
        <w:t xml:space="preserve">, three time points, and an expected ICC of 0.50, the design has 90% power to detect a within-subject correlation of</w:t>
      </w:r>
      <w:r>
        <w:t xml:space="preserve"> </w:t>
      </w:r>
      <ns3:oMath>
        <ns3:r>
          <ns3:t>r</ns3:t>
        </ns3:r>
        <ns3:r>
          <ns3:rPr>
            <ns3:sty ns3:val="p"/>
          </ns3:rPr>
          <ns3:t>=</ns3:t>
        </ns3:r>
        <ns3:r>
          <ns3:t>0.25</ns3:t>
        </ns3:r>
      </ns3:oMath>
      <w:r>
        <w:t xml:space="preserve"> </w:t>
      </w:r>
      <w:r>
        <w:t xml:space="preserve">at</w:t>
      </w:r>
      <w:r>
        <w:t xml:space="preserve"> </w:t>
      </w:r>
      <ns3:oMath>
        <ns3:r>
          <ns3:t>α</ns3:t>
        </ns3:r>
        <ns3:r>
          <ns3:rPr>
            <ns3:sty ns3:val="p"/>
          </ns3:rPr>
          <ns3:t>=</ns3:t>
        </ns3:r>
        <ns3:r>
          <ns3:t>0.05</ns3:t>
        </ns3:r>
      </ns3:oMath>
      <w:r>
        <w:t xml:space="preserve">.</w:t>
      </w:r>
    </w:p>
    <w:bookmarkEnd w:id="46"/>
    <w:bookmarkStart w:id="47" w:name="X7880458a9909b46ee08612007bc09c802a8107e"/>
    <w:p>
      <w:pPr>
        <w:pStyle w:val="Heading3"/>
      </w:pPr>
      <w:r>
        <w:t xml:space="preserve">5.2 Hypothesis H-NEURO-EXEC-01: Nonlinear Executive Cost Under High</w:t>
      </w:r>
      <w:r>
        <w:t xml:space="preserve"> </w:t>
      </w:r>
      <ns3:oMath>
        <ns3:sSub>
          <ns3:e>
            <ns3:r>
              <ns3:rPr>
                <ns3:sty ns3:val="p"/>
              </ns3:rPr>
              <ns3:t>Ψ</ns3:t>
            </ns3:r>
          </ns3:e>
          <ns3:sub>
            <ns3:r>
              <ns3:t>f</ns3:t>
            </ns3:r>
          </ns3:sub>
        </ns3:sSub>
      </ns3:oMath>
    </w:p>
    <w:p>
      <w:pPr>
        <w:pStyle w:val="FirstParagraph"/>
      </w:pPr>
      <w:r>
        <w:rPr>
          <w:b/>
          <w:bCs/>
        </w:rPr>
        <w:t xml:space="preserve">Prediction.</w:t>
      </w:r>
      <w:r>
        <w:t xml:space="preserve"> </w:t>
      </w:r>
      <w:r>
        <w:t xml:space="preserve">Task-switching cost increases nonlinearly as a function of concurrent normalized load. The confirmatory estimator is</w:t>
      </w:r>
      <w:r>
        <w:t xml:space="preserve"> </w:t>
      </w:r>
      <ns3:oMath>
        <ns3:sSup>
          <ns3:e>
            <ns3:r>
              <ns3:t>ρ</ns3:t>
            </ns3:r>
          </ns3:e>
          <ns3:sup>
            <ns3:r>
              <ns3:rPr>
                <ns3:sty ns3:val="p"/>
              </ns3:rPr>
              <ns3:t>*</ns3:t>
            </ns3:r>
          </ns3:sup>
        </ns3:sSup>
      </ns3:oMath>
      <w:r>
        <w:t xml:space="preserve"> </w:t>
      </w:r>
      <w:r>
        <w:t xml:space="preserve">(Equation 7c), with ratio-based</w:t>
      </w:r>
      <w:r>
        <w:t xml:space="preserve"> </w:t>
      </w:r>
      <ns3:oMath>
        <ns3:r>
          <ns3:t>ρ</ns3:t>
        </ns3:r>
      </ns3:oMath>
      <w:r>
        <w:t xml:space="preserve"> </w:t>
      </w:r>
      <w:r>
        <w:t xml:space="preserve">(Equation 7a) as sensitivity analysis. Specifically, a changepoint model (Equation 7b) should outperform a linear model by</w:t>
      </w:r>
      <w:r>
        <w:t xml:space="preserve"> </w:t>
      </w:r>
      <ns3:oMath>
        <ns3:r>
          <ns3:rPr>
            <ns3:sty ns3:val="p"/>
          </ns3:rPr>
          <ns3:t>Δ</ns3:t>
        </ns3:r>
        <ns3:sSup>
          <ns3:e>
            <ns3:r>
              <ns3:t>R</ns3:t>
            </ns3:r>
          </ns3:e>
          <ns3:sup>
            <ns3:r>
              <ns3:t>2</ns3:t>
            </ns3:r>
          </ns3:sup>
        </ns3:sSup>
        <ns3:r>
          <ns3:rPr>
            <ns3:sty ns3:val="p"/>
          </ns3:rPr>
          <ns3:t>&gt;</ns3:t>
        </ns3:r>
        <ns3:r>
          <ns3:t>0.05</ns3:t>
        </ns3:r>
      </ns3:oMath>
      <w:r>
        <w:t xml:space="preserve"> </w:t>
      </w:r>
      <w:r>
        <w:t xml:space="preserve">and yield an identifiable critical point</w:t>
      </w:r>
      <w:r>
        <w:t xml:space="preserve"> </w:t>
      </w:r>
      <ns3:oMath>
        <ns3:sSubSup>
          <ns3:e>
            <ns3:r>
              <ns3:t>ρ</ns3:t>
            </ns3:r>
          </ns3:e>
          <ns3:sub>
            <ns3:r>
              <ns3:t>c</ns3:t>
            </ns3:r>
          </ns3:sub>
          <ns3:sup>
            <ns3:r>
              <ns3:rPr>
                <ns3:sty ns3:val="p"/>
              </ns3:rPr>
              <ns3:t>*</ns3:t>
            </ns3:r>
          </ns3:sup>
        </ns3:sSubSup>
      </ns3:oMath>
      <w:r>
        <w:t xml:space="preserve"> </w:t>
      </w:r>
      <w:r>
        <w:t xml:space="preserve">(and concordant</w:t>
      </w:r>
      <w:r>
        <w:t xml:space="preserve"> </w:t>
      </w:r>
      <ns3:oMath>
        <ns3:sSub>
          <ns3:e>
            <ns3:r>
              <ns3:t>ρ</ns3:t>
            </ns3:r>
          </ns3:e>
          <ns3:sub>
            <ns3:r>
              <ns3:t>c</ns3:t>
            </ns3:r>
          </ns3:sub>
        </ns3:sSub>
      </ns3:oMath>
      <w:r>
        <w:t xml:space="preserve"> </w:t>
      </w:r>
      <w:r>
        <w:t xml:space="preserve">in sensitivity checks).</w:t>
      </w:r>
    </w:p>
    <w:p>
      <w:pPr>
        <w:pStyle w:val="BodyText"/>
      </w:pPr>
      <w:r>
        <w:rPr>
          <w:b/>
          <w:bCs/>
        </w:rPr>
        <w:t xml:space="preserve">Protocol.</w:t>
      </w:r>
      <w:r>
        <w:t xml:space="preserve"> </w:t>
      </w:r>
      <ns3:oMath>
        <ns3:r>
          <ns3:t>N</ns3:t>
        </ns3:r>
        <ns3:r>
          <ns3:rPr>
            <ns3:sty ns3:val="p"/>
          </ns3:rPr>
          <ns3:t>=</ns3:t>
        </ns3:r>
        <ns3:r>
          <ns3:t>80</ns3:t>
        </ns3:r>
      </ns3:oMath>
      <w:r>
        <w:t xml:space="preserve"> </w:t>
      </w:r>
      <w:r>
        <w:t xml:space="preserve">healthy adults in a within-subject design.</w:t>
      </w:r>
      <w:r>
        <w:t xml:space="preserve"> </w:t>
      </w:r>
      <ns3:oMath>
        <ns3:sSub>
          <ns3:e>
            <ns3:r>
              <ns3:rPr>
                <ns3:sty ns3:val="p"/>
              </ns3:rPr>
              <ns3:t>Ψ</ns3:t>
            </ns3:r>
          </ns3:e>
          <ns3:sub>
            <ns3:r>
              <ns3:t>f</ns3:t>
            </ns3:r>
          </ns3:sub>
        </ns3:sSub>
      </ns3:oMath>
      <w:r>
        <w:t xml:space="preserve"> </w:t>
      </w:r>
      <w:r>
        <w:t xml:space="preserve">load is manipulated at four levels: (1) single-task switching, (2) low concurrent load, (3) high concurrent load, and (4) social-evaluative stress. Task-switching cost is measured at each level; HRV and SCR are recorded to estimate concurrent load. For phase-1 estimation, baseline friction is operationalized as a latent composite from</w:t>
      </w:r>
      <w:r>
        <w:t xml:space="preserve"> </w:t>
      </w:r>
      <ns3:oMath>
        <ns3:sSubSup>
          <ns3:e>
            <ns3:r>
              <ns3:t>μ</ns3:t>
            </ns3:r>
          </ns3:e>
          <ns3:sub>
            <ns3:r>
              <ns3:rPr>
                <ns3:nor/>
                <ns3:sty ns3:val="p"/>
              </ns3:rPr>
              <ns3:t>sem</ns3:t>
            </ns3:r>
          </ns3:sub>
          <ns3:sup>
            <ns3:r>
              <ns3:rPr>
                <ns3:nor/>
                <ns3:sty ns3:val="p"/>
              </ns3:rPr>
              <ns3:t>adj</ns3:t>
            </ns3:r>
          </ns3:sup>
        </ns3:sSubSup>
      </ns3:oMath>
      <w:r>
        <w:t xml:space="preserve">, resting HRV (inverse-coded), and baseline switch cost;</w:t>
      </w:r>
      <w:r>
        <w:t xml:space="preserve"> </w:t>
      </w:r>
      <ns3:oMath>
        <ns3:sSub>
          <ns3:e>
            <ns3:r>
              <ns3:t>P</ns3:t>
            </ns3:r>
          </ns3:e>
          <ns3:sub>
            <ns3:r>
              <ns3:rPr>
                <ns3:nor/>
                <ns3:sty ns3:val="p"/>
              </ns3:rPr>
              <ns3:t>sel</ns3:t>
            </ns3:r>
          </ns3:sub>
        </ns3:sSub>
      </ns3:oMath>
      <w:r>
        <w:t xml:space="preserve"> </w:t>
      </w:r>
      <w:r>
        <w:t xml:space="preserve">is proxied by normalized HRV/SCR recovery. Primary confirmatory analyses use</w:t>
      </w:r>
      <w:r>
        <w:t xml:space="preserve"> </w:t>
      </w:r>
      <ns3:oMath>
        <ns3:sSup>
          <ns3:e>
            <ns3:r>
              <ns3:t>ρ</ns3:t>
            </ns3:r>
          </ns3:e>
          <ns3:sup>
            <ns3:r>
              <ns3:rPr>
                <ns3:sty ns3:val="p"/>
              </ns3:rPr>
              <ns3:t>*</ns3:t>
            </ns3:r>
          </ns3:sup>
        </ns3:sSup>
      </ns3:oMath>
      <w:r>
        <w:t xml:space="preserve"> </w:t>
      </w:r>
      <w:r>
        <w:t xml:space="preserve">(Eq. 7c); ratio-based</w:t>
      </w:r>
      <w:r>
        <w:t xml:space="preserve"> </w:t>
      </w:r>
      <ns3:oMath>
        <ns3:r>
          <ns3:t>ρ</ns3:t>
        </ns3:r>
      </ns3:oMath>
      <w:r>
        <w:t xml:space="preserve"> </w:t>
      </w:r>
      <w:r>
        <w:t xml:space="preserve">(Eq. 7a) is pre-specified sensitivity analysis.</w:t>
      </w:r>
    </w:p>
    <w:p>
      <w:pPr>
        <w:pStyle w:val="BodyText"/>
      </w:pPr>
      <w:r>
        <w:rPr>
          <w:b/>
          <w:bCs/>
        </w:rPr>
        <w:t xml:space="preserve">Falsification criterion.</w:t>
      </w:r>
      <w:r>
        <w:t xml:space="preserve"> </w:t>
      </w:r>
      <w:r>
        <w:t xml:space="preserve">If a linear model provides equal or better fit in the</w:t>
      </w:r>
      <w:r>
        <w:t xml:space="preserve"> </w:t>
      </w:r>
      <w:r>
        <w:rPr>
          <w:b/>
          <w:bCs/>
        </w:rPr>
        <w:t xml:space="preserve">primary</w:t>
      </w:r>
      <w:r>
        <w:rPr>
          <w:b/>
          <w:bCs/>
        </w:rPr>
        <w:t xml:space="preserve"> </w:t>
      </w:r>
      <ns3:oMath>
        <ns3:sSup>
          <ns3:e>
            <ns3:r>
              <ns3:t>ρ</ns3:t>
            </ns3:r>
          </ns3:e>
          <ns3:sup>
            <ns3:r>
              <ns3:rPr>
                <ns3:sty ns3:val="p"/>
              </ns3:rPr>
              <ns3:t>*</ns3:t>
            </ns3:r>
          </ns3:sup>
        </ns3:sSup>
      </ns3:oMath>
      <w:r>
        <w:rPr>
          <w:b/>
          <w:bCs/>
        </w:rPr>
        <w:t xml:space="preserve"> </w:t>
      </w:r>
      <w:r>
        <w:rPr>
          <w:b/>
          <w:bCs/>
        </w:rPr>
        <w:t xml:space="preserve">analysis</w:t>
      </w:r>
      <w:r>
        <w:t xml:space="preserve"> </w:t>
      </w:r>
      <w:r>
        <w:t xml:space="preserve">(</w:t>
      </w:r>
      <ns3:oMath>
        <ns3:sSubSup>
          <ns3:e>
            <ns3:r>
              <ns3:t>R</ns3:t>
            </ns3:r>
          </ns3:e>
          <ns3:sub>
            <ns3:r>
              <ns3:rPr>
                <ns3:nor/>
                <ns3:sty ns3:val="p"/>
              </ns3:rPr>
              <ns3:t>linear</ns3:t>
            </ns3:r>
          </ns3:sub>
          <ns3:sup>
            <ns3:r>
              <ns3:t>2</ns3:t>
            </ns3:r>
          </ns3:sup>
        </ns3:sSubSup>
        <ns3:r>
          <ns3:rPr>
            <ns3:sty ns3:val="p"/>
          </ns3:rPr>
          <ns3:t>≥</ns3:t>
        </ns3:r>
        <ns3:sSubSup>
          <ns3:e>
            <ns3:r>
              <ns3:t>R</ns3:t>
            </ns3:r>
          </ns3:e>
          <ns3:sub>
            <ns3:r>
              <ns3:rPr>
                <ns3:nor/>
                <ns3:sty ns3:val="p"/>
              </ns3:rPr>
              <ns3:t>changepoint</ns3:t>
            </ns3:r>
          </ns3:sub>
          <ns3:sup>
            <ns3:r>
              <ns3:t>2</ns3:t>
            </ns3:r>
          </ns3:sup>
        </ns3:sSubSup>
      </ns3:oMath>
      <w:r>
        <w:t xml:space="preserve">), or if no positive</w:t>
      </w:r>
      <w:r>
        <w:t xml:space="preserve"> </w:t>
      </w:r>
      <ns3:oMath>
        <ns3:sSubSup>
          <ns3:e>
            <ns3:r>
              <ns3:t>ρ</ns3:t>
            </ns3:r>
          </ns3:e>
          <ns3:sub>
            <ns3:r>
              <ns3:t>c</ns3:t>
            </ns3:r>
          </ns3:sub>
          <ns3:sup>
            <ns3:r>
              <ns3:rPr>
                <ns3:sty ns3:val="p"/>
              </ns3:rPr>
              <ns3:t>*</ns3:t>
            </ns3:r>
          </ns3:sup>
        </ns3:sSubSup>
      </ns3:oMath>
      <w:r>
        <w:t xml:space="preserve"> </w:t>
      </w:r>
      <w:r>
        <w:t xml:space="preserve">is identifiable, the bandwidth-saturation account is rejected in favor of additive resource models. Ratio-based</w:t>
      </w:r>
      <w:r>
        <w:t xml:space="preserve"> </w:t>
      </w:r>
      <ns3:oMath>
        <ns3:r>
          <ns3:t>ρ</ns3:t>
        </ns3:r>
      </ns3:oMath>
      <w:r>
        <w:t xml:space="preserve"> </w:t>
      </w:r>
      <w:r>
        <w:t xml:space="preserve">results are reported as sensitivity checks.</w:t>
      </w:r>
    </w:p>
    <w:bookmarkEnd w:id="47"/>
    <w:bookmarkStart w:id="48" w:name="X26aa5f38e4c9ba5c7a2d8f21a4a19f730033206"/>
    <w:p>
      <w:pPr>
        <w:pStyle w:val="Heading3"/>
      </w:pPr>
      <w:r>
        <w:t xml:space="preserve">5.3 Hypothesis H-MET-01: Free Choice Metabolic Premium</w:t>
      </w:r>
    </w:p>
    <w:p>
      <w:pPr>
        <w:pStyle w:val="FirstParagraph"/>
      </w:pPr>
      <w:r>
        <w:rPr>
          <w:b/>
          <w:bCs/>
        </w:rPr>
        <w:t xml:space="preserve">Prediction.</w:t>
      </w:r>
      <w:r>
        <w:t xml:space="preserve"> </w:t>
      </w:r>
      <w:r>
        <w:t xml:space="preserve">Decisions that require overriding default or habitual responses — operationalized as choosing the counter-habitual option in a trained stimulus-response compatibility task — produce higher</w:t>
      </w:r>
      <w:r>
        <w:t xml:space="preserve"> </w:t>
      </w:r>
      <w:r>
        <w:rPr>
          <w:i/>
          <w:iCs/>
        </w:rPr>
        <w:t xml:space="preserve">autonomic control cost</w:t>
      </w:r>
      <w:r>
        <w:t xml:space="preserve"> </w:t>
      </w:r>
      <w:r>
        <w:t xml:space="preserve">(primary endpoint: SCR amplitude) than decisions aligned with trained responses, and this cost differential is predicted by the individual’s behavioral</w:t>
      </w:r>
      <w:r>
        <w:t xml:space="preserve"> </w:t>
      </w:r>
      <ns3:oMath>
        <ns3:sSub>
          <ns3:e>
            <ns3:r>
              <ns3:rPr>
                <ns3:sty ns3:val="p"/>
              </ns3:rPr>
              <ns3:t>Ψ</ns3:t>
            </ns3:r>
          </ns3:e>
          <ns3:sub>
            <ns3:r>
              <ns3:t>f</ns3:t>
            </ns3:r>
          </ns3:sub>
        </ns3:sSub>
      </ns3:oMath>
      <w:r>
        <w:t xml:space="preserve"> </w:t>
      </w:r>
      <w:r>
        <w:t xml:space="preserve">composite score. Blood glucose change is treated as a secondary exploratory endpoint because the glucose-specific ego-depletion mechanism remains contested (Baumeister et al., 1998; Hagger et al., 2016; Vadillo et al., 2016).</w:t>
      </w:r>
    </w:p>
    <w:p>
      <w:pPr>
        <w:pStyle w:val="BodyText"/>
      </w:pPr>
      <w:r>
        <w:rPr>
          <w:b/>
          <w:bCs/>
        </w:rPr>
        <w:t xml:space="preserve">Protocol.</w:t>
      </w:r>
      <w:r>
        <w:t xml:space="preserve"> </w:t>
      </w:r>
      <ns3:oMath>
        <ns3:r>
          <ns3:t>N</ns3:t>
        </ns3:r>
        <ns3:r>
          <ns3:rPr>
            <ns3:sty ns3:val="p"/>
          </ns3:rPr>
          <ns3:t>=</ns3:t>
        </ns3:r>
        <ns3:r>
          <ns3:t>60</ns3:t>
        </ns3:r>
      </ns3:oMath>
      <w:r>
        <w:t xml:space="preserve"> </w:t>
      </w:r>
      <w:r>
        <w:t xml:space="preserve">healthy adults. Phase 1 (training): participants learn a stimulus-response mapping over 200 trials. Phase 2 (test): on 50% of trials, participants are instructed to execute the</w:t>
      </w:r>
      <w:r>
        <w:t xml:space="preserve"> </w:t>
      </w:r>
      <w:r>
        <w:rPr>
          <w:i/>
          <w:iCs/>
        </w:rPr>
        <w:t xml:space="preserve">opposite</w:t>
      </w:r>
      <w:r>
        <w:t xml:space="preserve"> </w:t>
      </w:r>
      <w:r>
        <w:t xml:space="preserve">of their trained response. SCR is recorded continuously as the primary physiological endpoint; capillary blood glucose (pre/post Phase 2) is collected as a secondary exploratory endpoint. Behavioral</w:t>
      </w:r>
      <w:r>
        <w:t xml:space="preserve"> </w:t>
      </w:r>
      <ns3:oMath>
        <ns3:sSub>
          <ns3:e>
            <ns3:r>
              <ns3:rPr>
                <ns3:sty ns3:val="p"/>
              </ns3:rPr>
              <ns3:t>Ψ</ns3:t>
            </ns3:r>
          </ns3:e>
          <ns3:sub>
            <ns3:r>
              <ns3:t>f</ns3:t>
            </ns3:r>
          </ns3:sub>
        </ns3:sSub>
      </ns3:oMath>
      <w:r>
        <w:t xml:space="preserve"> </w:t>
      </w:r>
      <w:r>
        <w:t xml:space="preserve">composite is measured in a separate session.</w:t>
      </w:r>
    </w:p>
    <w:p>
      <w:pPr>
        <w:pStyle w:val="BodyText"/>
      </w:pPr>
      <w:r>
        <w:rPr>
          <w:b/>
          <w:bCs/>
        </w:rPr>
        <w:t xml:space="preserve">Falsification criterion.</w:t>
      </w:r>
      <w:r>
        <w:t xml:space="preserve"> </w:t>
      </w:r>
      <w:r>
        <w:t xml:space="preserve">If SCR amplitude does not differ between habitual and counter-habitual responses, or if the SCR difference is not predicted by the</w:t>
      </w:r>
      <w:r>
        <w:t xml:space="preserve"> </w:t>
      </w:r>
      <ns3:oMath>
        <ns3:sSub>
          <ns3:e>
            <ns3:r>
              <ns3:rPr>
                <ns3:sty ns3:val="p"/>
              </ns3:rPr>
              <ns3:t>Ψ</ns3:t>
            </ns3:r>
          </ns3:e>
          <ns3:sub>
            <ns3:r>
              <ns3:t>f</ns3:t>
            </ns3:r>
          </ns3:sub>
        </ns3:sSub>
      </ns3:oMath>
      <w:r>
        <w:t xml:space="preserve"> </w:t>
      </w:r>
      <w:r>
        <w:t xml:space="preserve">composite (</w:t>
      </w:r>
      <ns3:oMath>
        <ns3:r>
          <ns3:t>r</ns3:t>
        </ns3:r>
        <ns3:r>
          <ns3:rPr>
            <ns3:sty ns3:val="p"/>
          </ns3:rPr>
          <ns3:t>&lt;</ns3:t>
        </ns3:r>
        <ns3:r>
          <ns3:t>0.15</ns3:t>
        </ns3:r>
      </ns3:oMath>
      <w:r>
        <w:t xml:space="preserve">), the primary metabolic-premium hypothesis is rejected. A null glucose effect alone does not falsify H-MET-01 but constrains substrate-level interpretations.</w:t>
      </w:r>
    </w:p>
    <w:bookmarkEnd w:id="48"/>
    <w:bookmarkStart w:id="49" w:name="X561e131874d1b28a5ca78150ec5d0f7bde3943b"/>
    <w:p>
      <w:pPr>
        <w:pStyle w:val="Heading3"/>
      </w:pPr>
      <w:r>
        <w:t xml:space="preserve">5.4 Hypothesis H-CLIN-DEP-01: ROS–</w:t>
      </w:r>
      <ns3:oMath>
        <ns3:sSub>
          <ns3:e>
            <ns3:r>
              <ns3:rPr>
                <ns3:sty ns3:val="p"/>
              </ns3:rPr>
              <ns3:t>Ψ</ns3:t>
            </ns3:r>
          </ns3:e>
          <ns3:sub>
            <ns3:r>
              <ns3:t>f</ns3:t>
            </ns3:r>
          </ns3:sub>
        </ns3:sSub>
      </ns3:oMath>
      <w:r>
        <w:t xml:space="preserve"> </w:t>
      </w:r>
      <w:r>
        <w:t xml:space="preserve">Coupling in Depression</w:t>
      </w:r>
    </w:p>
    <w:p>
      <w:pPr>
        <w:pStyle w:val="FirstParagraph"/>
      </w:pPr>
      <w:r>
        <w:rPr>
          <w:b/>
          <w:bCs/>
        </w:rPr>
        <w:t xml:space="preserve">Prediction.</w:t>
      </w:r>
      <w:r>
        <w:t xml:space="preserve"> </w:t>
      </w:r>
      <w:r>
        <w:t xml:space="preserve">In a sample of MDD patients (</w:t>
      </w:r>
      <ns3:oMath>
        <ns3:r>
          <ns3:t>n</ns3:t>
        </ns3:r>
        <ns3:r>
          <ns3:rPr>
            <ns3:sty ns3:val="p"/>
          </ns3:rPr>
          <ns3:t>=</ns3:t>
        </ns3:r>
        <ns3:r>
          <ns3:t>40</ns3:t>
        </ns3:r>
      </ns3:oMath>
      <w:r>
        <w:t xml:space="preserve">) and matched healthy controls (</w:t>
      </w:r>
      <ns3:oMath>
        <ns3:r>
          <ns3:t>n</ns3:t>
        </ns3:r>
        <ns3:r>
          <ns3:rPr>
            <ns3:sty ns3:val="p"/>
          </ns3:rPr>
          <ns3:t>=</ns3:t>
        </ns3:r>
        <ns3:r>
          <ns3:t>40</ns3:t>
        </ns3:r>
      </ns3:oMath>
      <w:r>
        <w:t xml:space="preserve">), the behavioral</w:t>
      </w:r>
      <w:r>
        <w:t xml:space="preserve"> </w:t>
      </w:r>
      <ns3:oMath>
        <ns3:sSub>
          <ns3:e>
            <ns3:r>
              <ns3:rPr>
                <ns3:sty ns3:val="p"/>
              </ns3:rPr>
              <ns3:t>Ψ</ns3:t>
            </ns3:r>
          </ns3:e>
          <ns3:sub>
            <ns3:r>
              <ns3:t>f</ns3:t>
            </ns3:r>
          </ns3:sub>
        </ns3:sSub>
      </ns3:oMath>
      <w:r>
        <w:t xml:space="preserve"> </w:t>
      </w:r>
      <w:r>
        <w:t xml:space="preserve">composite score predicts ROS biomarker levels (GSH/GSSG ratio) with</w:t>
      </w:r>
      <w:r>
        <w:t xml:space="preserve"> </w:t>
      </w:r>
      <ns3:oMath>
        <ns3:r>
          <ns3:t>r</ns3:t>
        </ns3:r>
        <ns3:r>
          <ns3:rPr>
            <ns3:sty ns3:val="p"/>
          </ns3:rPr>
          <ns3:t>&gt;</ns3:t>
        </ns3:r>
        <ns3:r>
          <ns3:t>0.30</ns3:t>
        </ns3:r>
      </ns3:oMath>
      <w:r>
        <w:t xml:space="preserve"> </w:t>
      </w:r>
      <w:r>
        <w:t xml:space="preserve">in the MDD group. HRV mediation is tested as a compatibility model in cross-sectional data and is not interpreted as causal directionality.</w:t>
      </w:r>
    </w:p>
    <w:p>
      <w:pPr>
        <w:pStyle w:val="BodyText"/>
      </w:pPr>
      <w:r>
        <w:rPr>
          <w:b/>
          <w:bCs/>
        </w:rPr>
        <w:t xml:space="preserve">Protocol.</w:t>
      </w:r>
      <w:r>
        <w:t xml:space="preserve"> </w:t>
      </w:r>
      <w:r>
        <w:t xml:space="preserve">Cross-sectional comparison. Each participant completes the full behavioral task battery (§3.1), provides salivary cortisol and blood samples for ROS assays, and undergoes HRV recording. MDD diagnosis is confirmed via structured clinical interview (SCID-5). Predefined exclusion/covariate set includes acute inflammatory disease, systemic steroid or high-dose antioxidant use, unstable medical illness, substance dependence, antidepressant class/dose (e.g., SSRI/SNRI), illness duration, episode severity, anxiety comorbidity, and sleep-quality index.</w:t>
      </w:r>
    </w:p>
    <w:p>
      <w:pPr>
        <w:pStyle w:val="BodyText"/>
      </w:pPr>
      <w:r>
        <w:rPr>
          <w:b/>
          <w:bCs/>
        </w:rPr>
        <w:t xml:space="preserve">Falsification criterion.</w:t>
      </w:r>
      <w:r>
        <w:t xml:space="preserve"> </w:t>
      </w:r>
      <w:r>
        <w:t xml:space="preserve">If the</w:t>
      </w:r>
      <w:r>
        <w:t xml:space="preserve"> </w:t>
      </w:r>
      <ns3:oMath>
        <ns3:sSub>
          <ns3:e>
            <ns3:r>
              <ns3:rPr>
                <ns3:sty ns3:val="p"/>
              </ns3:rPr>
              <ns3:t>Ψ</ns3:t>
            </ns3:r>
          </ns3:e>
          <ns3:sub>
            <ns3:r>
              <ns3:t>f</ns3:t>
            </ns3:r>
          </ns3:sub>
        </ns3:sSub>
      </ns3:oMath>
      <w:r>
        <w:t xml:space="preserve"> </w:t>
      </w:r>
      <w:r>
        <w:t xml:space="preserve">composite–GSH/GSSG correlation is</w:t>
      </w:r>
      <w:r>
        <w:t xml:space="preserve"> </w:t>
      </w:r>
      <ns3:oMath>
        <ns3:r>
          <ns3:t>r</ns3:t>
        </ns3:r>
        <ns3:r>
          <ns3:rPr>
            <ns3:sty ns3:val="p"/>
          </ns3:rPr>
          <ns3:t>&lt;</ns3:t>
        </ns3:r>
        <ns3:r>
          <ns3:t>0.15</ns3:t>
        </ns3:r>
      </ns3:oMath>
      <w:r>
        <w:t xml:space="preserve"> </w:t>
      </w:r>
      <w:r>
        <w:t xml:space="preserve">in the MDD group, or if the mediation by HRV is non-significant, the ROS-friction coupling model is rejected for depression.</w:t>
      </w:r>
    </w:p>
    <w:bookmarkEnd w:id="49"/>
    <w:bookmarkStart w:id="50" w:name="X31e8c25e031be7c815bd586ddf5c1ac136cf3ff"/>
    <w:p>
      <w:pPr>
        <w:pStyle w:val="Heading3"/>
      </w:pPr>
      <w:r>
        <w:t xml:space="preserve">5.5 Hypothesis H-CLIN-OCD-01: Maximal</w:t>
      </w:r>
      <w:r>
        <w:t xml:space="preserve"> </w:t>
      </w:r>
      <ns3:oMath>
        <ns3:sSub>
          <ns3:e>
            <ns3:r>
              <ns3:t>μ</ns3:t>
            </ns3:r>
          </ns3:e>
          <ns3:sub>
            <ns3:r>
              <ns3:rPr>
                <ns3:nor/>
                <ns3:sty ns3:val="p"/>
              </ns3:rPr>
              <ns3:t>sem</ns3:t>
            </ns3:r>
          </ns3:sub>
        </ns3:sSub>
      </ns3:oMath>
      <w:r>
        <w:t xml:space="preserve"> </w:t>
      </w:r>
      <w:r>
        <w:t xml:space="preserve">in OCD</w:t>
      </w:r>
    </w:p>
    <w:p>
      <w:pPr>
        <w:pStyle w:val="FirstParagraph"/>
      </w:pPr>
      <w:r>
        <w:rPr>
          <w:b/>
          <w:bCs/>
        </w:rPr>
        <w:t xml:space="preserve">Prediction.</w:t>
      </w:r>
      <w:r>
        <w:t xml:space="preserve"> </w:t>
      </w:r>
      <w:r>
        <w:t xml:space="preserve">In a three-group comparison (OCD,</w:t>
      </w:r>
      <w:r>
        <w:t xml:space="preserve"> </w:t>
      </w:r>
      <ns3:oMath>
        <ns3:r>
          <ns3:t>n</ns3:t>
        </ns3:r>
        <ns3:r>
          <ns3:rPr>
            <ns3:sty ns3:val="p"/>
          </ns3:rPr>
          <ns3:t>=</ns3:t>
        </ns3:r>
        <ns3:r>
          <ns3:t>30</ns3:t>
        </ns3:r>
      </ns3:oMath>
      <w:r>
        <w:t xml:space="preserve">; MDD,</w:t>
      </w:r>
      <w:r>
        <w:t xml:space="preserve"> </w:t>
      </w:r>
      <ns3:oMath>
        <ns3:r>
          <ns3:t>n</ns3:t>
        </ns3:r>
        <ns3:r>
          <ns3:rPr>
            <ns3:sty ns3:val="p"/>
          </ns3:rPr>
          <ns3:t>=</ns3:t>
        </ns3:r>
        <ns3:r>
          <ns3:t>30</ns3:t>
        </ns3:r>
      </ns3:oMath>
      <w:r>
        <w:t xml:space="preserve">; healthy controls,</w:t>
      </w:r>
      <w:r>
        <w:t xml:space="preserve"> </w:t>
      </w:r>
      <ns3:oMath>
        <ns3:r>
          <ns3:t>n</ns3:t>
        </ns3:r>
        <ns3:r>
          <ns3:rPr>
            <ns3:sty ns3:val="p"/>
          </ns3:rPr>
          <ns3:t>=</ns3:t>
        </ns3:r>
        <ns3:r>
          <ns3:t>30</ns3:t>
        </ns3:r>
      </ns3:oMath>
      <w:r>
        <w:t xml:space="preserve">), the OCD group shows significantly higher</w:t>
      </w:r>
      <w:r>
        <w:t xml:space="preserve"> </w:t>
      </w:r>
      <ns3:oMath>
        <ns3:sSub>
          <ns3:e>
            <ns3:r>
              <ns3:t>μ</ns3:t>
            </ns3:r>
          </ns3:e>
          <ns3:sub>
            <ns3:r>
              <ns3:rPr>
                <ns3:nor/>
                <ns3:sty ns3:val="p"/>
              </ns3:rPr>
              <ns3:t>sem</ns3:t>
            </ns3:r>
          </ns3:sub>
        </ns3:sSub>
      </ns3:oMath>
      <w:r>
        <w:t xml:space="preserve"> </w:t>
      </w:r>
      <w:r>
        <w:t xml:space="preserve">than both MDD and control groups (</w:t>
      </w:r>
      <ns3:oMath>
        <ns3:sSubSup>
          <ns3:e>
            <ns3:r>
              <ns3:t>η</ns3:t>
            </ns3:r>
          </ns3:e>
          <ns3:sub>
            <ns3:r>
              <ns3:t>p</ns3:t>
            </ns3:r>
          </ns3:sub>
          <ns3:sup>
            <ns3:r>
              <ns3:t>2</ns3:t>
            </ns3:r>
          </ns3:sup>
        </ns3:sSubSup>
        <ns3:r>
          <ns3:rPr>
            <ns3:sty ns3:val="p"/>
          </ns3:rPr>
          <ns3:t>&gt;</ns3:t>
        </ns3:r>
        <ns3:r>
          <ns3:t>0.06</ns3:t>
        </ns3:r>
      </ns3:oMath>
      <w:r>
        <w:t xml:space="preserve">, medium effect size), driven specifically by elevated frequency of constraint modals.</w:t>
      </w:r>
    </w:p>
    <w:p>
      <w:pPr>
        <w:pStyle w:val="BodyText"/>
      </w:pPr>
      <w:r>
        <w:rPr>
          <w:b/>
          <w:bCs/>
        </w:rPr>
        <w:t xml:space="preserve">Protocol.</w:t>
      </w:r>
      <w:r>
        <w:t xml:space="preserve"> </w:t>
      </w:r>
      <w:r>
        <w:t xml:space="preserve">Each participant completes a 20-minute semi-structured clinical interview (using the Yale-Brown Obsessive Compulsive Scale for OCD group, Hamilton Depression Rating Scale for MDD group) plus a standardized free-narrative prompt (</w:t>
      </w:r>
      <w:r>
        <w:t xml:space="preserve">“Describe your daily routine and the challenges you face”</w:t>
      </w:r>
      <w:r>
        <w:t xml:space="preserve">). Transcripts are analyzed for</w:t>
      </w:r>
      <w:r>
        <w:t xml:space="preserve"> </w:t>
      </w:r>
      <ns3:oMath>
        <ns3:sSub>
          <ns3:e>
            <ns3:r>
              <ns3:t>μ</ns3:t>
            </ns3:r>
          </ns3:e>
          <ns3:sub>
            <ns3:r>
              <ns3:rPr>
                <ns3:nor/>
                <ns3:sty ns3:val="p"/>
              </ns3:rPr>
              <ns3:t>sem</ns3:t>
            </ns3:r>
          </ns3:sub>
        </ns3:sSub>
      </ns3:oMath>
      <w:r>
        <w:t xml:space="preserve">. Minimal adjustment set includes SSRI/antipsychotic augmentation status, benzodiazepine use, illness duration, anxiety and sleep comorbidity indices, and interviewer random effects.</w:t>
      </w:r>
    </w:p>
    <w:p>
      <w:pPr>
        <w:pStyle w:val="BodyText"/>
      </w:pPr>
      <w:r>
        <w:rPr>
          <w:b/>
          <w:bCs/>
        </w:rPr>
        <w:t xml:space="preserve">Falsification criterion.</w:t>
      </w:r>
      <w:r>
        <w:t xml:space="preserve"> </w:t>
      </w:r>
      <w:r>
        <w:t xml:space="preserve">If OCD</w:t>
      </w:r>
      <w:r>
        <w:t xml:space="preserve"> </w:t>
      </w:r>
      <ns3:oMath>
        <ns3:sSub>
          <ns3:e>
            <ns3:r>
              <ns3:t>μ</ns3:t>
            </ns3:r>
          </ns3:e>
          <ns3:sub>
            <ns3:r>
              <ns3:rPr>
                <ns3:nor/>
                <ns3:sty ns3:val="p"/>
              </ns3:rPr>
              <ns3:t>sem</ns3:t>
            </ns3:r>
          </ns3:sub>
        </ns3:sSub>
      </ns3:oMath>
      <w:r>
        <w:t xml:space="preserve"> </w:t>
      </w:r>
      <w:r>
        <w:t xml:space="preserve">does not significantly exceed healthy control</w:t>
      </w:r>
      <w:r>
        <w:t xml:space="preserve"> </w:t>
      </w:r>
      <ns3:oMath>
        <ns3:sSub>
          <ns3:e>
            <ns3:r>
              <ns3:t>μ</ns3:t>
            </ns3:r>
          </ns3:e>
          <ns3:sub>
            <ns3:r>
              <ns3:rPr>
                <ns3:nor/>
                <ns3:sty ns3:val="p"/>
              </ns3:rPr>
              <ns3:t>sem</ns3:t>
            </ns3:r>
          </ns3:sub>
        </ns3:sSub>
      </ns3:oMath>
      <w:r>
        <w:t xml:space="preserve"> </w:t>
      </w:r>
      <w:r>
        <w:t xml:space="preserve">(</w:t>
      </w:r>
      <ns3:oMath>
        <ns3:r>
          <ns3:t>p</ns3:t>
        </ns3:r>
        <ns3:r>
          <ns3:rPr>
            <ns3:sty ns3:val="p"/>
          </ns3:rPr>
          <ns3:t>&gt;</ns3:t>
        </ns3:r>
        <ns3:r>
          <ns3:t>0.05</ns3:t>
        </ns3:r>
      </ns3:oMath>
      <w:r>
        <w:t xml:space="preserve">, one-tailed), the disorder-specific linguistic signature model is rejected.</w:t>
      </w:r>
    </w:p>
    <w:bookmarkEnd w:id="50"/>
    <w:bookmarkStart w:id="54" w:name="proposed-validation-roadmap"/>
    <w:p>
      <w:pPr>
        <w:pStyle w:val="Heading3"/>
      </w:pPr>
      <w:r>
        <w:t xml:space="preserve">5.6 Proposed Validation Roadmap</w:t>
      </w:r>
    </w:p>
    <w:p>
      <w:pPr>
        <w:pStyle w:val="FirstParagraph"/>
      </w:pPr>
      <w:r>
        <w:t xml:space="preserve">We propose a three-phase validation program:</w:t>
      </w:r>
    </w:p>
    <w:p>
      <w:pPr>
        <w:pStyle w:val="BodyText"/>
      </w:pPr>
      <w:r>
        <w:rPr>
          <w:b/>
          <w:bCs/>
        </w:rPr>
        <w:t xml:space="preserve">Phase 1 (core low-cost mechanism test).</w:t>
      </w:r>
      <w:r>
        <w:t xml:space="preserve"> </w:t>
      </w:r>
      <w:r>
        <w:t xml:space="preserve">Execute H72 and H-NEURO-EXEC-01 using behavioral tasks,</w:t>
      </w:r>
      <w:r>
        <w:t xml:space="preserve"> </w:t>
      </w:r>
      <ns3:oMath>
        <ns3:sSubSup>
          <ns3:e>
            <ns3:r>
              <ns3:t>μ</ns3:t>
            </ns3:r>
          </ns3:e>
          <ns3:sub>
            <ns3:r>
              <ns3:rPr>
                <ns3:nor/>
                <ns3:sty ns3:val="p"/>
              </ns3:rPr>
              <ns3:t>sem</ns3:t>
            </ns3:r>
          </ns3:sub>
          <ns3:sup>
            <ns3:r>
              <ns3:rPr>
                <ns3:nor/>
                <ns3:sty ns3:val="p"/>
              </ns3:rPr>
              <ns3:t>adj</ns3:t>
            </ns3:r>
          </ns3:sup>
        </ns3:sSubSup>
      </ns3:oMath>
      <w:r>
        <w:t xml:space="preserve">, HRV, and SCR. Objective: identify whether a stable latent</w:t>
      </w:r>
      <w:r>
        <w:t xml:space="preserve"> </w:t>
      </w:r>
      <ns3:oMath>
        <ns3:sSub>
          <ns3:e>
            <ns3:r>
              <ns3:rPr>
                <ns3:sty ns3:val="p"/>
              </ns3:rPr>
              <ns3:t>Ψ</ns3:t>
            </ns3:r>
          </ns3:e>
          <ns3:sub>
            <ns3:r>
              <ns3:t>f</ns3:t>
            </ns3:r>
          </ns3:sub>
        </ns3:sSub>
      </ns3:oMath>
      <w:r>
        <w:t xml:space="preserve"> </w:t>
      </w:r>
      <w:r>
        <w:t xml:space="preserve">factor and a measurable critical point</w:t>
      </w:r>
      <w:r>
        <w:t xml:space="preserve"> </w:t>
      </w:r>
      <ns3:oMath>
        <ns3:sSubSup>
          <ns3:e>
            <ns3:r>
              <ns3:t>ρ</ns3:t>
            </ns3:r>
          </ns3:e>
          <ns3:sub>
            <ns3:r>
              <ns3:t>c</ns3:t>
            </ns3:r>
          </ns3:sub>
          <ns3:sup>
            <ns3:r>
              <ns3:rPr>
                <ns3:sty ns3:val="p"/>
              </ns3:rPr>
              <ns3:t>*</ns3:t>
            </ns3:r>
          </ns3:sup>
        </ns3:sSubSup>
      </ns3:oMath>
      <w:r>
        <w:t xml:space="preserve"> </w:t>
      </w:r>
      <w:r>
        <w:t xml:space="preserve">exists in healthy cohorts (with ratio-based</w:t>
      </w:r>
      <w:r>
        <w:t xml:space="preserve"> </w:t>
      </w:r>
      <ns3:oMath>
        <ns3:sSub>
          <ns3:e>
            <ns3:r>
              <ns3:t>ρ</ns3:t>
            </ns3:r>
          </ns3:e>
          <ns3:sub>
            <ns3:r>
              <ns3:t>c</ns3:t>
            </ns3:r>
          </ns3:sub>
        </ns3:sSub>
      </ns3:oMath>
      <w:r>
        <w:t xml:space="preserve"> </w:t>
      </w:r>
      <w:r>
        <w:t xml:space="preserve">as sensitivity check).</w:t>
      </w:r>
      <w:r>
        <w:t xml:space="preserve"> </w:t>
      </w:r>
      <ns3:oMath>
        <ns3:sSub>
          <ns3:e>
            <ns3:r>
              <ns3:t>N</ns3:t>
            </ns3:r>
          </ns3:e>
          <ns3:sub>
            <ns3:r>
              <ns3:rPr>
                <ns3:nor/>
                <ns3:sty ns3:val="p"/>
              </ns3:rPr>
              <ns3:t>total</ns3:t>
            </ns3:r>
          </ns3:sub>
        </ns3:sSub>
        <ns3:r>
          <ns3:rPr>
            <ns3:sty ns3:val="p"/>
          </ns3:rPr>
          <ns3:t>≈</ns3:t>
        </ns3:r>
        <ns3:r>
          <ns3:t>200</ns3:t>
        </ns3:r>
      </ns3:oMath>
      <w:r>
        <w:t xml:space="preserve">. Estimated timeline: 12 months.</w:t>
      </w:r>
    </w:p>
    <w:p>
      <w:pPr>
        <w:pStyle w:val="BodyText"/>
      </w:pPr>
      <w:r>
        <w:rPr>
          <w:b/>
          <w:bCs/>
        </w:rPr>
        <w:t xml:space="preserve">Phase 2 (core clinical generalization).</w:t>
      </w:r>
      <w:r>
        <w:t xml:space="preserve"> </w:t>
      </w:r>
      <w:r>
        <w:t xml:space="preserve">Execute H-CLIN-OCD-01 and H-MET-01 with the same low-cost core chain, extending to clinical and quasi-clinical groups while preserving protocol simplicity.</w:t>
      </w:r>
      <w:r>
        <w:t xml:space="preserve"> </w:t>
      </w:r>
      <ns3:oMath>
        <ns3:sSub>
          <ns3:e>
            <ns3:r>
              <ns3:t>N</ns3:t>
            </ns3:r>
          </ns3:e>
          <ns3:sub>
            <ns3:r>
              <ns3:rPr>
                <ns3:nor/>
                <ns3:sty ns3:val="p"/>
              </ns3:rPr>
              <ns3:t>total</ns3:t>
            </ns3:r>
          </ns3:sub>
        </ns3:sSub>
        <ns3:r>
          <ns3:rPr>
            <ns3:sty ns3:val="p"/>
          </ns3:rPr>
          <ns3:t>≈</ns3:t>
        </ns3:r>
        <ns3:r>
          <ns3:t>150</ns3:t>
        </ns3:r>
      </ns3:oMath>
      <w:r>
        <w:t xml:space="preserve">. Estimated timeline: 18 months.</w:t>
      </w:r>
    </w:p>
    <w:p>
      <w:pPr>
        <w:pStyle w:val="BodyText"/>
      </w:pPr>
      <w:r>
        <w:rPr>
          <w:b/>
          <w:bCs/>
        </w:rPr>
        <w:t xml:space="preserve">Phase 3 (high-cost optional adjudication).</w:t>
      </w:r>
      <w:r>
        <w:t xml:space="preserve"> </w:t>
      </w:r>
      <w:r>
        <w:t xml:space="preserve">Execute H-CLIN-DEP-01 with ROS assays and neural expansion markers (e.g., PCI, theta-gamma coupling, Fisher-geometry metrics) to test whether costly modalities add explanatory value beyond the core chain. These modalities are explicitly optional adjudicators, not prerequisites for validating the core model.</w:t>
      </w:r>
      <w:r>
        <w:t xml:space="preserve"> </w:t>
      </w:r>
      <ns3:oMath>
        <ns3:sSub>
          <ns3:e>
            <ns3:r>
              <ns3:t>N</ns3:t>
            </ns3:r>
          </ns3:e>
          <ns3:sub>
            <ns3:r>
              <ns3:rPr>
                <ns3:nor/>
                <ns3:sty ns3:val="p"/>
              </ns3:rPr>
              <ns3:t>total</ns3:t>
            </ns3:r>
          </ns3:sub>
        </ns3:sSub>
        <ns3:r>
          <ns3:rPr>
            <ns3:sty ns3:val="p"/>
          </ns3:rPr>
          <ns3:t>≈</ns3:t>
        </ns3:r>
        <ns3:r>
          <ns3:t>200</ns3:t>
        </ns3:r>
      </ns3:oMath>
      <w:r>
        <w:t xml:space="preserve">. Estimated timeline: 24 months.</w:t>
      </w:r>
    </w:p>
    <w:p>
      <w:pPr>
        <w:pStyle w:val="BodyText"/>
      </w:pPr>
      <w:r>
        <w:t xml:space="preserve">At pre-registration release, the public repository will include: modal dictionaries by language, preprocessing/tokenization scripts, model-specification files (core and fallback), and simulation scripts used to justify decision thresholds.</w:t>
      </w:r>
    </w:p>
    <w:p>
      <w:pPr>
        <w:pStyle w:val="BodyText"/>
      </w:pPr>
      <w:r>
        <w:rPr>
          <w:b/>
          <w:bCs/>
        </w:rPr>
        <w:t xml:space="preserve">Table 3. Falsification criteria summary.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Hypothesis</w:t>
            </w:r>
          </w:p>
        </w:tc>
        <w:tc>
          <w:tcPr/>
          <w:p>
            <w:pPr>
              <w:pStyle w:val="Compact"/>
            </w:pPr>
            <w:r>
              <w:t xml:space="preserve">Tier</w:t>
            </w:r>
          </w:p>
        </w:tc>
        <w:tc>
          <w:tcPr/>
          <w:p>
            <w:pPr>
              <w:pStyle w:val="Compact"/>
            </w:pPr>
            <w:r>
              <w:t xml:space="preserve">Core Prediction</w:t>
            </w:r>
          </w:p>
        </w:tc>
        <w:tc>
          <w:tcPr/>
          <w:p>
            <w:pPr>
              <w:pStyle w:val="Compact"/>
            </w:pPr>
            <w:r>
              <w:t xml:space="preserve">Falsification Criterion</w:t>
            </w:r>
          </w:p>
        </w:tc>
        <w:tc>
          <w:tcPr/>
          <w:p>
            <w:pPr>
              <w:pStyle w:val="Compact"/>
            </w:pPr>
            <w:r>
              <w:t xml:space="preserve">Required</w:t>
            </w:r>
            <w:r>
              <w:t xml:space="preserve"> </w:t>
            </w:r>
            <ns3:oMath>
              <ns3:r>
                <ns3:t>N</ns3:t>
              </ns3:r>
            </ns3:oMath>
          </w:p>
        </w:tc>
        <w:tc>
          <w:tcPr/>
          <w:p>
            <w:pPr>
              <w:pStyle w:val="Compact"/>
            </w:pPr>
            <w:r>
              <w:t xml:space="preserve">Key Measures</w:t>
            </w:r>
          </w:p>
        </w:tc>
      </w:tr>
      <w:tr>
        <w:tc>
          <w:tcPr/>
          <w:p>
            <w:pPr>
              <w:pStyle w:val="Compact"/>
            </w:pPr>
            <w:r>
              <w:t xml:space="preserve">H72</w:t>
            </w:r>
          </w:p>
        </w:tc>
        <w:tc>
          <w:tcPr/>
          <w:p>
            <w:pPr>
              <w:pStyle w:val="Compact"/>
            </w:pPr>
            <w:r>
              <w:t xml:space="preserve">Core</w:t>
            </w:r>
          </w:p>
        </w:tc>
        <w:tc>
          <w:tcPr/>
          <w:p>
            <w:pPr>
              <w:pStyle w:val="Compact"/>
            </w:pPr>
            <w:r>
              <w:t xml:space="preserve">Context-sensitive</w:t>
            </w:r>
            <w:r>
              <w:t xml:space="preserve"> </w:t>
            </w:r>
            <ns3:oMath>
              <ns3:sSubSup>
                <ns3:e>
                  <ns3:r>
                    <ns3:t>μ</ns3:t>
                  </ns3:r>
                </ns3:e>
                <ns3:sub>
                  <ns3:r>
                    <ns3:rPr>
                      <ns3:nor/>
                      <ns3:sty ns3:val="p"/>
                    </ns3:rPr>
                    <ns3:t>sem</ns3:t>
                  </ns3:r>
                </ns3:sub>
                <ns3:sup>
                  <ns3:r>
                    <ns3:rPr>
                      <ns3:nor/>
                      <ns3:sty ns3:val="p"/>
                    </ns3:rPr>
                    <ns3:t>adj</ns3:t>
                  </ns3:r>
                </ns3:sup>
              </ns3:sSubSup>
            </ns3:oMath>
            <w:r>
              <w:t xml:space="preserve"> </w:t>
            </w:r>
            <w:r>
              <w:t xml:space="preserve">+ incremental validity</w:t>
            </w:r>
          </w:p>
        </w:tc>
        <w:tc>
          <w:tcPr/>
          <w:p>
            <w:pPr>
              <w:pStyle w:val="Compact"/>
            </w:pPr>
            <w:r>
              <w:t xml:space="preserve">No context effect and</w:t>
            </w:r>
            <w:r>
              <w:t xml:space="preserve"> </w:t>
            </w:r>
            <ns3:oMath>
              <ns3:r>
                <ns3:rPr>
                  <ns3:sty ns3:val="p"/>
                </ns3:rPr>
                <ns3:t>Δ</ns3:t>
              </ns3:r>
              <ns3:sSup>
                <ns3:e>
                  <ns3:r>
                    <ns3:t>R</ns3:t>
                  </ns3:r>
                </ns3:e>
                <ns3:sup>
                  <ns3:r>
                    <ns3:t>2</ns3:t>
                  </ns3:r>
                </ns3:sup>
              </ns3:sSup>
              <ns3:r>
                <ns3:rPr>
                  <ns3:sty ns3:val="p"/>
                </ns3:rPr>
                <ns3:t>&lt;</ns3:t>
              </ns3:r>
              <ns3:r>
                <ns3:t>0.02</ns3:t>
              </ns3:r>
            </ns3:oMath>
          </w:p>
        </w:tc>
        <w:tc>
          <w:tcPr/>
          <w:p>
            <w:pPr>
              <w:pStyle w:val="Compact"/>
            </w:pPr>
            <w:r>
              <w:t xml:space="preserve">120</w:t>
            </w:r>
          </w:p>
        </w:tc>
        <w:tc>
          <w:tcPr/>
          <w:p>
            <w:pPr>
              <w:pStyle w:val="Compact"/>
            </w:pPr>
            <w:r>
              <w:t xml:space="preserve">Adjusted modal ratio, RT, HRV/SCR, symptom scales</w:t>
            </w:r>
          </w:p>
        </w:tc>
      </w:tr>
      <w:tr>
        <w:tc>
          <w:tcPr/>
          <w:p>
            <w:pPr>
              <w:pStyle w:val="Compact"/>
            </w:pPr>
            <w:r>
              <w:t xml:space="preserve">H-NEURO-EXEC-01</w:t>
            </w:r>
          </w:p>
        </w:tc>
        <w:tc>
          <w:tcPr/>
          <w:p>
            <w:pPr>
              <w:pStyle w:val="Compact"/>
            </w:pPr>
            <w:r>
              <w:t xml:space="preserve">Core</w:t>
            </w:r>
          </w:p>
        </w:tc>
        <w:tc>
          <w:tcPr/>
          <w:p>
            <w:pPr>
              <w:pStyle w:val="Compact"/>
            </w:pPr>
            <w:r>
              <w:t xml:space="preserve">Nonlinear cost increase with identifiable</w:t>
            </w:r>
            <w:r>
              <w:t xml:space="preserve"> </w:t>
            </w:r>
            <ns3:oMath>
              <ns3:sSubSup>
                <ns3:e>
                  <ns3:r>
                    <ns3:t>ρ</ns3:t>
                  </ns3:r>
                </ns3:e>
                <ns3:sub>
                  <ns3:r>
                    <ns3:t>c</ns3:t>
                  </ns3:r>
                </ns3:sub>
                <ns3:sup>
                  <ns3:r>
                    <ns3:rPr>
                      <ns3:sty ns3:val="p"/>
                    </ns3:rPr>
                    <ns3:t>*</ns3:t>
                  </ns3:r>
                </ns3:sup>
              </ns3:sSubSup>
            </ns3:oMath>
            <w:r>
              <w:t xml:space="preserve"> </w:t>
            </w:r>
            <w:r>
              <w:t xml:space="preserve">(primary)</w:t>
            </w:r>
          </w:p>
        </w:tc>
        <w:tc>
          <w:tcPr/>
          <w:p>
            <w:pPr>
              <w:pStyle w:val="Compact"/>
            </w:pPr>
            <w:r>
              <w:t xml:space="preserve">Linear fit dominates or no</w:t>
            </w:r>
            <w:r>
              <w:t xml:space="preserve"> </w:t>
            </w:r>
            <ns3:oMath>
              <ns3:sSubSup>
                <ns3:e>
                  <ns3:r>
                    <ns3:t>ρ</ns3:t>
                  </ns3:r>
                </ns3:e>
                <ns3:sub>
                  <ns3:r>
                    <ns3:t>c</ns3:t>
                  </ns3:r>
                </ns3:sub>
                <ns3:sup>
                  <ns3:r>
                    <ns3:rPr>
                      <ns3:sty ns3:val="p"/>
                    </ns3:rPr>
                    <ns3:t>*</ns3:t>
                  </ns3:r>
                </ns3:sup>
              </ns3:sSubSup>
            </ns3:oMath>
          </w:p>
        </w:tc>
        <w:tc>
          <w:tcPr/>
          <w:p>
            <w:pPr>
              <w:pStyle w:val="Compact"/>
            </w:pPr>
            <w:r>
              <w:t xml:space="preserve">80</w:t>
            </w:r>
          </w:p>
        </w:tc>
        <w:tc>
          <w:tcPr/>
          <w:p>
            <w:pPr>
              <w:pStyle w:val="Compact"/>
            </w:pPr>
            <w:r>
              <w:t xml:space="preserve">Task-switch</w:t>
            </w:r>
            <w:r>
              <w:t xml:space="preserve"> </w:t>
            </w:r>
            <ns3:oMath>
              <ns3:r>
                <ns3:rPr>
                  <ns3:sty ns3:val="p"/>
                </ns3:rPr>
                <ns3:t>×</ns3:t>
              </ns3:r>
            </ns3:oMath>
            <w:r>
              <w:t xml:space="preserve"> </w:t>
            </w:r>
            <w:r>
              <w:t xml:space="preserve">load, HRV/SCR, baseline latent score</w:t>
            </w:r>
          </w:p>
        </w:tc>
      </w:tr>
      <w:tr>
        <w:tc>
          <w:tcPr/>
          <w:p>
            <w:pPr>
              <w:pStyle w:val="Compact"/>
            </w:pPr>
            <w:r>
              <w:t xml:space="preserve">H-MET-01</w:t>
            </w:r>
          </w:p>
        </w:tc>
        <w:tc>
          <w:tcPr/>
          <w:p>
            <w:pPr>
              <w:pStyle w:val="Compact"/>
            </w:pPr>
            <w:r>
              <w:t xml:space="preserve">Core-extension bridge</w:t>
            </w:r>
          </w:p>
        </w:tc>
        <w:tc>
          <w:tcPr/>
          <w:p>
            <w:pPr>
              <w:pStyle w:val="Compact"/>
            </w:pPr>
            <w:r>
              <w:t xml:space="preserve">Counter-habitual choice increases SCR (glucose exploratory)</w:t>
            </w:r>
          </w:p>
        </w:tc>
        <w:tc>
          <w:tcPr/>
          <w:p>
            <w:pPr>
              <w:pStyle w:val="Compact"/>
            </w:pPr>
            <w:r>
              <w:t xml:space="preserve">No SCR difference or SCR-</w:t>
            </w:r>
            <ns3:oMath>
              <ns3:sSub>
                <ns3:e>
                  <ns3:r>
                    <ns3:rPr>
                      <ns3:sty ns3:val="p"/>
                    </ns3:rPr>
                    <ns3:t>Ψ</ns3:t>
                  </ns3:r>
                </ns3:e>
                <ns3:sub>
                  <ns3:r>
                    <ns3:t>f</ns3:t>
                  </ns3:r>
                </ns3:sub>
              </ns3:sSub>
            </ns3:oMath>
            <w:r>
              <w:t xml:space="preserve"> </w:t>
            </w:r>
            <w:r>
              <w:t xml:space="preserve">link</w:t>
            </w:r>
          </w:p>
        </w:tc>
        <w:tc>
          <w:tcPr/>
          <w:p>
            <w:pPr>
              <w:pStyle w:val="Compact"/>
            </w:pPr>
            <w:r>
              <w:t xml:space="preserve">60</w:t>
            </w:r>
          </w:p>
        </w:tc>
        <w:tc>
          <w:tcPr/>
          <w:p>
            <w:pPr>
              <w:pStyle w:val="Compact"/>
            </w:pPr>
            <w:r>
              <w:t xml:space="preserve">SCR (primary), glucose (secondary), compatibility task</w:t>
            </w:r>
          </w:p>
        </w:tc>
      </w:tr>
      <w:tr>
        <w:tc>
          <w:tcPr/>
          <w:p>
            <w:pPr>
              <w:pStyle w:val="Compact"/>
            </w:pPr>
            <w:r>
              <w:t xml:space="preserve">H-CLIN-OCD-01</w:t>
            </w:r>
          </w:p>
        </w:tc>
        <w:tc>
          <w:tcPr/>
          <w:p>
            <w:pPr>
              <w:pStyle w:val="Compact"/>
            </w:pPr>
            <w:r>
              <w:t xml:space="preserve">Core clinical</w:t>
            </w:r>
          </w:p>
        </w:tc>
        <w:tc>
          <w:tcPr/>
          <w:p>
            <w:pPr>
              <w:pStyle w:val="Compact"/>
            </w:pPr>
            <w:r>
              <w:t xml:space="preserve">Highest</w:t>
            </w:r>
            <w:r>
              <w:t xml:space="preserve"> </w:t>
            </w:r>
            <ns3:oMath>
              <ns3:sSub>
                <ns3:e>
                  <ns3:r>
                    <ns3:t>μ</ns3:t>
                  </ns3:r>
                </ns3:e>
                <ns3:sub>
                  <ns3:r>
                    <ns3:rPr>
                      <ns3:nor/>
                      <ns3:sty ns3:val="p"/>
                    </ns3:rPr>
                    <ns3:t>sem</ns3:t>
                  </ns3:r>
                </ns3:sub>
              </ns3:sSub>
            </ns3:oMath>
            <w:r>
              <w:t xml:space="preserve"> </w:t>
            </w:r>
            <w:r>
              <w:t xml:space="preserve">in OCD</w:t>
            </w:r>
          </w:p>
        </w:tc>
        <w:tc>
          <w:tcPr/>
          <w:p>
            <w:pPr>
              <w:pStyle w:val="Compact"/>
            </w:pPr>
            <w:r>
              <w:t xml:space="preserve">OCD</w:t>
            </w:r>
            <w:r>
              <w:t xml:space="preserve"> </w:t>
            </w:r>
            <ns3:oMath>
              <ns3:sSub>
                <ns3:e>
                  <ns3:r>
                    <ns3:t>μ</ns3:t>
                  </ns3:r>
                </ns3:e>
                <ns3:sub>
                  <ns3:r>
                    <ns3:rPr>
                      <ns3:nor/>
                      <ns3:sty ns3:val="p"/>
                    </ns3:rPr>
                    <ns3:t>sem</ns3:t>
                  </ns3:r>
                </ns3:sub>
              </ns3:sSub>
            </ns3:oMath>
            <w:r>
              <w:t xml:space="preserve"> </w:t>
            </w:r>
            <w:r>
              <w:t xml:space="preserve">= controls</w:t>
            </w:r>
          </w:p>
        </w:tc>
        <w:tc>
          <w:tcPr/>
          <w:p>
            <w:pPr>
              <w:pStyle w:val="Compact"/>
            </w:pPr>
            <w:r>
              <w:t xml:space="preserve">90 (30$</w:t>
            </w:r>
            <w:r>
              <w:t xml:space="preserve">$3)</w:t>
            </w:r>
          </w:p>
        </w:tc>
        <w:tc>
          <w:tcPr/>
          <w:p>
            <w:pPr>
              <w:pStyle w:val="Compact"/>
            </w:pPr>
            <w:r>
              <w:t xml:space="preserve">Modal ratio, clinical interview</w:t>
            </w:r>
          </w:p>
        </w:tc>
      </w:tr>
      <w:tr>
        <w:tc>
          <w:tcPr/>
          <w:p>
            <w:pPr>
              <w:pStyle w:val="Compact"/>
            </w:pPr>
            <w:r>
              <w:t xml:space="preserve">H-CLIN-DEP-01</w:t>
            </w:r>
          </w:p>
        </w:tc>
        <w:tc>
          <w:tcPr/>
          <w:p>
            <w:pPr>
              <w:pStyle w:val="Compact"/>
            </w:pPr>
            <w:r>
              <w:t xml:space="preserve">Expansion</w:t>
            </w:r>
          </w:p>
        </w:tc>
        <w:tc>
          <w:tcPr/>
          <w:p>
            <w:pPr>
              <w:pStyle w:val="Compact"/>
            </w:pPr>
            <w:r>
              <w:t xml:space="preserve">ROS predicted by</w:t>
            </w:r>
            <w:r>
              <w:t xml:space="preserve"> </w:t>
            </w:r>
            <ns3:oMath>
              <ns3:sSub>
                <ns3:e>
                  <ns3:r>
                    <ns3:rPr>
                      <ns3:sty ns3:val="p"/>
                    </ns3:rPr>
                    <ns3:t>Ψ</ns3:t>
                  </ns3:r>
                </ns3:e>
                <ns3:sub>
                  <ns3:r>
                    <ns3:t>f</ns3:t>
                  </ns3:r>
                </ns3:sub>
              </ns3:sSub>
            </ns3:oMath>
            <w:r>
              <w:t xml:space="preserve"> </w:t>
            </w:r>
            <w:r>
              <w:t xml:space="preserve">in MDD</w:t>
            </w:r>
          </w:p>
        </w:tc>
        <w:tc>
          <w:tcPr/>
          <w:p>
            <w:pPr>
              <w:pStyle w:val="Compact"/>
            </w:pPr>
            <ns3:oMath>
              <ns3:r>
                <ns3:t>r</ns3:t>
              </ns3:r>
              <ns3:r>
                <ns3:rPr>
                  <ns3:sty ns3:val="p"/>
                </ns3:rPr>
                <ns3:t>&lt;</ns3:t>
              </ns3:r>
              <ns3:r>
                <ns3:t>0.15</ns3:t>
              </ns3:r>
            </ns3:oMath>
          </w:p>
        </w:tc>
        <w:tc>
          <w:tcPr/>
          <w:p>
            <w:pPr>
              <w:pStyle w:val="Compact"/>
            </w:pPr>
            <w:r>
              <w:t xml:space="preserve">80 (40+40)</w:t>
            </w:r>
          </w:p>
        </w:tc>
        <w:tc>
          <w:tcPr/>
          <w:p>
            <w:pPr>
              <w:pStyle w:val="Compact"/>
            </w:pPr>
            <w:r>
              <w:t xml:space="preserve">GSH/GSSG, task battery, HRV</w:t>
            </w:r>
          </w:p>
        </w:tc>
      </w:tr>
    </w:tbl>
    <w:p>
      <w:pPr>
        <w:pStyle w:val="BodyText"/>
      </w:pPr>
      <w:r>
        <w:t xml:space="preserve">Primary-endpoint decision rules: directional primary tests are one-sided (</w:t>
      </w:r>
      <ns3:oMath>
        <ns3:r>
          <ns3:t>α</ns3:t>
        </ns3:r>
        <ns3:r>
          <ns3:rPr>
            <ns3:sty ns3:val="p"/>
          </ns3:rPr>
          <ns3:t>=</ns3:t>
        </ns3:r>
        <ns3:r>
          <ns3:t>0.025</ns3:t>
        </ns3:r>
      </ns3:oMath>
      <w:r>
        <w:t xml:space="preserve">); secondary tests use Benjamini-Hochberg FDR control (</w:t>
      </w:r>
      <ns3:oMath>
        <ns3:r>
          <ns3:t>q</ns3:t>
        </ns3:r>
        <ns3:r>
          <ns3:rPr>
            <ns3:sty ns3:val="p"/>
          </ns3:rPr>
          <ns3:t>&lt;</ns3:t>
        </ns3:r>
        <ns3:r>
          <ns3:t>0.05</ns3:t>
        </ns3:r>
      </ns3:oMath>
      <w:r>
        <w:t xml:space="preserve">). Predefined primary endpoints are: H72 (context effect and</w:t>
      </w:r>
      <w:r>
        <w:t xml:space="preserve"> </w:t>
      </w:r>
      <ns3:oMath>
        <ns3:r>
          <ns3:rPr>
            <ns3:sty ns3:val="p"/>
          </ns3:rPr>
          <ns3:t>Δ</ns3:t>
        </ns3:r>
        <ns3:sSup>
          <ns3:e>
            <ns3:r>
              <ns3:t>R</ns3:t>
            </ns3:r>
          </ns3:e>
          <ns3:sup>
            <ns3:r>
              <ns3:t>2</ns3:t>
            </ns3:r>
          </ns3:sup>
        </ns3:sSup>
      </ns3:oMath>
      <w:r>
        <w:t xml:space="preserve">), H-NEURO-EXEC-01 (</w:t>
      </w:r>
      <ns3:oMath>
        <ns3:sSubSup>
          <ns3:e>
            <ns3:r>
              <ns3:t>ρ</ns3:t>
            </ns3:r>
          </ns3:e>
          <ns3:sub>
            <ns3:r>
              <ns3:t>c</ns3:t>
            </ns3:r>
          </ns3:sub>
          <ns3:sup>
            <ns3:r>
              <ns3:rPr>
                <ns3:sty ns3:val="p"/>
              </ns3:rPr>
              <ns3:t>*</ns3:t>
            </ns3:r>
          </ns3:sup>
        </ns3:sSubSup>
      </ns3:oMath>
      <w:r>
        <w:t xml:space="preserve"> </w:t>
      </w:r>
      <w:r>
        <w:t xml:space="preserve">identification), H-MET-01 (SCR contrast), H-CLIN-OCD-01 (group contrast on</w:t>
      </w:r>
      <w:r>
        <w:t xml:space="preserve"> </w:t>
      </w:r>
      <ns3:oMath>
        <ns3:sSub>
          <ns3:e>
            <ns3:r>
              <ns3:t>μ</ns3:t>
            </ns3:r>
          </ns3:e>
          <ns3:sub>
            <ns3:r>
              <ns3:rPr>
                <ns3:nor/>
                <ns3:sty ns3:val="p"/>
              </ns3:rPr>
              <ns3:t>sem</ns3:t>
            </ns3:r>
          </ns3:sub>
        </ns3:sSub>
      </ns3:oMath>
      <w:r>
        <w:t xml:space="preserve">), and H-CLIN-DEP-01 (</w:t>
      </w:r>
      <ns3:oMath>
        <ns3:sSub>
          <ns3:e>
            <ns3:r>
              <ns3:rPr>
                <ns3:sty ns3:val="p"/>
              </ns3:rPr>
              <ns3:t>Ψ</ns3:t>
            </ns3:r>
          </ns3:e>
          <ns3:sub>
            <ns3:r>
              <ns3:t>f</ns3:t>
            </ns3:r>
          </ns3:sub>
        </ns3:sSub>
      </ns3:oMath>
      <w:r>
        <w:t xml:space="preserve">-ROS association). Ratio-based</w:t>
      </w:r>
      <w:r>
        <w:t xml:space="preserve"> </w:t>
      </w:r>
      <ns3:oMath>
        <ns3:r>
          <ns3:t>ρ</ns3:t>
        </ns3:r>
      </ns3:oMath>
      <w:r>
        <w:t xml:space="preserve"> </w:t>
      </w:r>
      <w:r>
        <w:t xml:space="preserve">inference is explicitly sensitivity-only.</w:t>
      </w:r>
    </w:p>
    <w:p>
      <w:pPr>
        <w:pStyle w:val="BodyText"/>
      </w:pPr>
      <w:r>
        <w:t xml:space="preserve">The one-sided choice is justified by preregistered directional monotonic predictions implied by Equations (4), (5), and (7); all primary effects are also reported with two-sided sensitivity analyses. Thresholds (e.g.,</w:t>
      </w:r>
      <w:r>
        <w:t xml:space="preserve"> </w:t>
      </w:r>
      <ns3:oMath>
        <ns3:r>
          <ns3:t>r</ns3:t>
        </ns3:r>
        <ns3:r>
          <ns3:rPr>
            <ns3:sty ns3:val="p"/>
          </ns3:rPr>
          <ns3:t>&gt;</ns3:t>
        </ns3:r>
        <ns3:r>
          <ns3:t>0.30</ns3:t>
        </ns3:r>
      </ns3:oMath>
      <w:r>
        <w:t xml:space="preserve">,</w:t>
      </w:r>
      <w:r>
        <w:t xml:space="preserve"> </w:t>
      </w:r>
      <ns3:oMath>
        <ns3:r>
          <ns3:rPr>
            <ns3:sty ns3:val="p"/>
          </ns3:rPr>
          <ns3:t>Δ</ns3:t>
        </ns3:r>
        <ns3:sSup>
          <ns3:e>
            <ns3:r>
              <ns3:t>R</ns3:t>
            </ns3:r>
          </ns3:e>
          <ns3:sup>
            <ns3:r>
              <ns3:t>2</ns3:t>
            </ns3:r>
          </ns3:sup>
        </ns3:sSup>
        <ns3:r>
          <ns3:rPr>
            <ns3:sty ns3:val="p"/>
          </ns3:rPr>
          <ns3:t>&gt;</ns3:t>
        </ns3:r>
        <ns3:r>
          <ns3:t>0.05</ns3:t>
        </ns3:r>
      </ns3:oMath>
      <w:r>
        <w:t xml:space="preserve">, pruning rule at</w:t>
      </w:r>
      <w:r>
        <w:t xml:space="preserve"> </w:t>
      </w:r>
      <ns3:oMath>
        <ns3:r>
          <ns3:t>r</ns3:t>
        </ns3:r>
        <ns3:r>
          <ns3:rPr>
            <ns3:sty ns3:val="p"/>
          </ns3:rPr>
          <ns3:t>&lt;</ns3:t>
        </ns3:r>
        <ns3:r>
          <ns3:t>0.15</ns3:t>
        </ns3:r>
      </ns3:oMath>
      <w:r>
        <w:t xml:space="preserve">) are design anchors linked to planned simulation-based power checks under expected reliability ranges, rather than universal constants.</w:t>
      </w:r>
    </w:p>
    <w:p>
      <w:pPr>
        <w:pStyle w:val="BodyText"/>
      </w:pPr>
      <w:r>
        <w:rPr>
          <w:b/>
          <w:bCs/>
        </w:rPr>
        <w:t xml:space="preserve">Figure 5.</w:t>
      </w:r>
      <w:r>
        <w:t xml:space="preserve"> </w:t>
      </w:r>
      <w:r>
        <w:rPr>
          <w:i/>
          <w:iCs/>
        </w:rPr>
        <w:t xml:space="preserve">Core-chain protocol and critical-load prediction.</w:t>
      </w:r>
      <w:r>
        <w:t xml:space="preserve"> </w:t>
      </w:r>
      <w:r>
        <w:t xml:space="preserve">(A) Low-cost protocol for H72 and H-NEURO-EXEC-01, integrating two prompt contexts (neutral factual retell vs self-decision narrative), behavioral battery, HRV/SCR recording, appraisal ratings, and NLP extraction for latent-factor estimation. Baseline load is estimated as</w:t>
      </w:r>
      <w:r>
        <w:t xml:space="preserve"> </w:t>
      </w:r>
      <ns3:oMath>
        <ns3:sSup>
          <ns3:e>
            <ns3:r>
              <ns3:t>ρ</ns3:t>
            </ns3:r>
          </ns3:e>
          <ns3:sup>
            <ns3:r>
              <ns3:rPr>
                <ns3:sty ns3:val="p"/>
              </ns3:rPr>
              <ns3:t>*</ns3:t>
            </ns3:r>
          </ns3:sup>
        </ns3:sSup>
        <ns3:r>
          <ns3:rPr>
            <ns3:sty ns3:val="p"/>
          </ns3:rPr>
          <ns3:t>=</ns3:t>
        </ns3:r>
        <ns3:r>
          <ns3:t>z</ns3:t>
        </ns3:r>
        <ns3:r>
          <ns3:rPr>
            <ns3:sty ns3:val="p"/>
          </ns3:rPr>
          <ns3:t>(</ns3:t>
        </ns3:r>
        <ns3:sSubSup>
          <ns3:e>
            <ns3:r>
              <ns3:rPr>
                <ns3:sty ns3:val="p"/>
              </ns3:rPr>
              <ns3:t>Ψ</ns3:t>
            </ns3:r>
          </ns3:e>
          <ns3:sub>
            <ns3:r>
              <ns3:t>f</ns3:t>
            </ns3:r>
          </ns3:sub>
          <ns3:sup>
            <ns3:r>
              <ns3:rPr>
                <ns3:nor/>
                <ns3:sty ns3:val="p"/>
              </ns3:rPr>
              <ns3:t>baseline, latent</ns3:t>
            </ns3:r>
          </ns3:sup>
        </ns3:sSubSup>
        <ns3:r>
          <ns3:rPr>
            <ns3:sty ns3:val="p"/>
          </ns3:rPr>
          <ns3:t>)</ns3:t>
        </ns3:r>
        <ns3:r>
          <ns3:rPr>
            <ns3:sty ns3:val="p"/>
          </ns3:rPr>
          <ns3:t>−</ns3:t>
        </ns3:r>
        <ns3:r>
          <ns3:t>z</ns3:t>
        </ns3:r>
        <ns3:r>
          <ns3:rPr>
            <ns3:sty ns3:val="p"/>
          </ns3:rPr>
          <ns3:t>(</ns3:t>
        </ns3:r>
        <ns3:sSubSup>
          <ns3:e>
            <ns3:r>
              <ns3:t>P</ns3:t>
            </ns3:r>
          </ns3:e>
          <ns3:sub>
            <ns3:r>
              <ns3:rPr>
                <ns3:nor/>
                <ns3:sty ns3:val="p"/>
              </ns3:rPr>
              <ns3:t>sel</ns3:t>
            </ns3:r>
          </ns3:sub>
          <ns3:sup>
            <ns3:r>
              <ns3:rPr>
                <ns3:nor/>
                <ns3:sty ns3:val="p"/>
              </ns3:rPr>
              <ns3:t>proxy</ns3:t>
            </ns3:r>
          </ns3:sup>
        </ns3:sSubSup>
        <ns3:r>
          <ns3:rPr>
            <ns3:sty ns3:val="p"/>
          </ns3:rPr>
          <ns3:t>)</ns3:t>
        </ns3:r>
      </ns3:oMath>
      <w:r>
        <w:t xml:space="preserve"> </w:t>
      </w:r>
      <w:r>
        <w:t xml:space="preserve">(Eq. 7c) in primary analyses; ratio-based</w:t>
      </w:r>
      <w:r>
        <w:t xml:space="preserve"> </w:t>
      </w:r>
      <ns3:oMath>
        <ns3:r>
          <ns3:t>ρ</ns3:t>
        </ns3:r>
      </ns3:oMath>
      <w:r>
        <w:t xml:space="preserve"> </w:t>
      </w:r>
      <w:r>
        <w:t xml:space="preserve">is sensitivity-only. (B) Predicted task-switch cost as a function of normalized load</w:t>
      </w:r>
      <w:r>
        <w:t xml:space="preserve"> </w:t>
      </w:r>
      <ns3:oMath>
        <ns3:r>
          <ns3:t>ρ</ns3:t>
        </ns3:r>
      </ns3:oMath>
      <w:r>
        <w:t xml:space="preserve">: the saturation model (solid red) includes a critical point</w:t>
      </w:r>
      <w:r>
        <w:t xml:space="preserve"> </w:t>
      </w:r>
      <ns3:oMath>
        <ns3:sSub>
          <ns3:e>
            <ns3:r>
              <ns3:t>ρ</ns3:t>
            </ns3:r>
          </ns3:e>
          <ns3:sub>
            <ns3:r>
              <ns3:t>c</ns3:t>
            </ns3:r>
          </ns3:sub>
        </ns3:sSub>
      </ns3:oMath>
      <w:r>
        <w:t xml:space="preserve"> </w:t>
      </w:r>
      <w:r>
        <w:t xml:space="preserve">and nonlinear escalation into a</w:t>
      </w:r>
      <w:r>
        <w:t xml:space="preserve"> </w:t>
      </w:r>
      <w:r>
        <w:t xml:space="preserve">“know but can’t do”</w:t>
      </w:r>
      <w:r>
        <w:t xml:space="preserve"> </w:t>
      </w:r>
      <w:r>
        <w:t xml:space="preserve">zone, while the additive model (dashed gray) predicts linear increase.</w:t>
      </w:r>
    </w:p>
    <w:p>
      <w:pPr>
        <w:pStyle w:val="CaptionedFigure"/>
      </w:pPr>
      <w:r>
        <w:drawing>
          <ns4:inline>
            <ns4:extent cx="5943600" cy="6917933"/>
            <ns4:effectExtent b="0" l="0" r="0" t="0"/>
            <ns4:docPr descr="Figure 5" title="" id="52" name="Picture"/>
            <ns5:graphic>
              <ns5:graphicData uri="http://schemas.openxmlformats.org/drawingml/2006/picture">
                <ns6:pic>
                  <ns6:nvPicPr>
                    <ns6:cNvPr descr="figures/fig4_experimental_design.png" id="53" name="Picture"/>
                    <ns6:cNvPicPr>
                      <ns5:picLocks noChangeArrowheads="1" noChangeAspect="1"/>
                    </ns6:cNvPicPr>
                  </ns6:nvPicPr>
                  <ns6:blipFill>
                    <ns5:blip r:embed="rId51"/>
                    <ns5:stretch>
                      <ns5:fillRect/>
                    </ns5:stretch>
                  </ns6:blipFill>
                  <ns6:spPr bwMode="auto">
                    <ns5:xfrm>
                      <ns5:off x="0" y="0"/>
                      <ns5:ext cx="5943600" cy="6917933"/>
                    </ns5:xfrm>
                    <ns5:prstGeom prst="rect">
                      <ns5:avLst/>
                    </ns5:prstGeom>
                    <ns5:noFill/>
                    <ns5:ln w="9525">
                      <ns5:noFill/>
                      <ns5:headEnd/>
                      <ns5:tailEnd/>
                    </ns5:ln>
                  </ns6:spPr>
                </ns6:pic>
              </ns5:graphicData>
            </ns5:graphic>
          </ns4:inline>
        </w:drawing>
      </w:r>
    </w:p>
    <w:p>
      <w:pPr>
        <w:pStyle w:val="ImageCaption"/>
      </w:pPr>
      <w:r>
        <w:t xml:space="preserve">Figure 5</w:t>
      </w:r>
    </w:p>
    <w:p>
      <w:r>
        <w:pict>
          <ns1:rect style="width:0;height:1.5pt" ns2:hralign="center" ns2:hrstd="t" ns2:hr="t"/>
        </w:pict>
      </w:r>
    </w:p>
    <w:bookmarkEnd w:id="54"/>
    <w:bookmarkEnd w:id="55"/>
    <w:bookmarkStart w:id="62" w:name="discussion"/>
    <w:p>
      <w:pPr>
        <w:pStyle w:val="Heading2"/>
      </w:pPr>
      <w:r>
        <w:t xml:space="preserve">6. Discussion</w:t>
      </w:r>
    </w:p>
    <w:bookmarkStart w:id="56" w:name="theoretical-implications"/>
    <w:p>
      <w:pPr>
        <w:pStyle w:val="Heading3"/>
      </w:pPr>
      <w:r>
        <w:t xml:space="preserve">6.1 Theoretical Implications</w:t>
      </w:r>
    </w:p>
    <w:p>
      <w:pPr>
        <w:pStyle w:val="FirstParagraph"/>
      </w:pPr>
      <w:r>
        <w:t xml:space="preserve">The</w:t>
      </w:r>
      <w:r>
        <w:t xml:space="preserve"> </w:t>
      </w:r>
      <ns3:oMath>
        <ns3:sSub>
          <ns3:e>
            <ns3:r>
              <ns3:rPr>
                <ns3:sty ns3:val="p"/>
              </ns3:rPr>
              <ns3:t>Ψ</ns3:t>
            </ns3:r>
          </ns3:e>
          <ns3:sub>
            <ns3:r>
              <ns3:t>f</ns3:t>
            </ns3:r>
          </ns3:sub>
        </ns3:sSub>
      </ns3:oMath>
      <w:r>
        <w:t xml:space="preserve"> </w:t>
      </w:r>
      <w:r>
        <w:t xml:space="preserve">framework addresses a persistent gap in cognitive neuroscience: the absence of a cross-modal cost quantity that unifies behavioral, physiological, neural, and linguistic signatures of executive breakdown under a formal selection-budget constraint. By deriving the knowing–doing gap as bandwidth saturation (Equation 7) rather than as a domain-specific failure, the framework generates testable predictions that current models — cognitive load theory, FEP, IIT, allostatic load — do not individually produce.</w:t>
      </w:r>
    </w:p>
    <w:p>
      <w:pPr>
        <w:pStyle w:val="BodyText"/>
      </w:pPr>
      <w:r>
        <w:t xml:space="preserve">The key theoretical advance is the</w:t>
      </w:r>
      <w:r>
        <w:t xml:space="preserve"> </w:t>
      </w:r>
      <w:r>
        <w:rPr>
          <w:i/>
          <w:iCs/>
        </w:rPr>
        <w:t xml:space="preserve">decoupling of knowledge from capacity</w:t>
      </w:r>
      <w:r>
        <w:t xml:space="preserve">. In existing frameworks, executive failure is typically attributed to degraded representations (the agent doesn’t know), degraded attention (the agent can’t focus), or degraded motivation (the agent doesn’t want to). The</w:t>
      </w:r>
      <w:r>
        <w:t xml:space="preserve"> </w:t>
      </w:r>
      <ns3:oMath>
        <ns3:sSub>
          <ns3:e>
            <ns3:r>
              <ns3:rPr>
                <ns3:sty ns3:val="p"/>
              </ns3:rPr>
              <ns3:t>Ψ</ns3:t>
            </ns3:r>
          </ns3:e>
          <ns3:sub>
            <ns3:r>
              <ns3:t>f</ns3:t>
            </ns3:r>
          </ns3:sub>
        </ns3:sSub>
      </ns3:oMath>
      <w:r>
        <w:t xml:space="preserve"> </w:t>
      </w:r>
      <w:r>
        <w:t xml:space="preserve">framework introduces a fourth possibility: the agent knows, can focus, and wants to act, but the</w:t>
      </w:r>
      <w:r>
        <w:t xml:space="preserve"> </w:t>
      </w:r>
      <w:r>
        <w:rPr>
          <w:i/>
          <w:iCs/>
        </w:rPr>
        <w:t xml:space="preserve">cost of converting knowledge into action</w:t>
      </w:r>
      <w:r>
        <w:t xml:space="preserve"> </w:t>
      </w:r>
      <w:r>
        <w:t xml:space="preserve">exceeds available resources. This bandwidth saturation account explains why patients often report the phenomenology of</w:t>
      </w:r>
      <w:r>
        <w:t xml:space="preserve"> </w:t>
      </w:r>
      <w:r>
        <w:t xml:space="preserve">“knowing exactly what to do but being unable to do it”</w:t>
      </w:r>
      <w:r>
        <w:t xml:space="preserve"> </w:t>
      </w:r>
      <w:r>
        <w:t xml:space="preserve">— a subjective experience that is puzzling under representational, attentional, or motivational accounts.</w:t>
      </w:r>
    </w:p>
    <w:bookmarkEnd w:id="56"/>
    <w:bookmarkStart w:id="57" w:name="comparison-with-existing-frameworks"/>
    <w:p>
      <w:pPr>
        <w:pStyle w:val="Heading3"/>
      </w:pPr>
      <w:r>
        <w:t xml:space="preserve">6.2 Comparison with Existing Frameworks</w:t>
      </w:r>
    </w:p>
    <w:p>
      <w:pPr>
        <w:pStyle w:val="FirstParagraph"/>
      </w:pPr>
      <w:r>
        <w:t xml:space="preserve">Table 4 compares</w:t>
      </w:r>
      <w:r>
        <w:t xml:space="preserve"> </w:t>
      </w:r>
      <ns3:oMath>
        <ns3:sSub>
          <ns3:e>
            <ns3:r>
              <ns3:rPr>
                <ns3:sty ns3:val="p"/>
              </ns3:rPr>
              <ns3:t>Ψ</ns3:t>
            </ns3:r>
          </ns3:e>
          <ns3:sub>
            <ns3:r>
              <ns3:t>f</ns3:t>
            </ns3:r>
          </ns3:sub>
        </ns3:sSub>
      </ns3:oMath>
      <w:r>
        <w:t xml:space="preserve"> </w:t>
      </w:r>
      <w:r>
        <w:t xml:space="preserve">with five existing frameworks across seven evaluation criteria.</w:t>
      </w:r>
    </w:p>
    <w:p>
      <w:pPr>
        <w:pStyle w:val="BodyText"/>
      </w:pPr>
      <w:r>
        <w:rPr>
          <w:b/>
          <w:bCs/>
        </w:rPr>
        <w:t xml:space="preserve">Table 4. Framework 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Feature</w:t>
            </w:r>
          </w:p>
        </w:tc>
        <w:tc>
          <w:tcPr/>
          <w:p>
            <w:pPr>
              <w:pStyle w:val="Compact"/>
            </w:pPr>
            <w:r>
              <w:t xml:space="preserve">Cognitive Load Theory</w:t>
            </w:r>
          </w:p>
        </w:tc>
        <w:tc>
          <w:tcPr/>
          <w:p>
            <w:pPr>
              <w:pStyle w:val="Compact"/>
            </w:pPr>
            <w:r>
              <w:t xml:space="preserve">Allostatic Load</w:t>
            </w:r>
          </w:p>
        </w:tc>
        <w:tc>
          <w:tcPr/>
          <w:p>
            <w:pPr>
              <w:pStyle w:val="Compact"/>
            </w:pPr>
            <w:r>
              <w:t xml:space="preserve">Free Energy Principle</w:t>
            </w:r>
          </w:p>
        </w:tc>
        <w:tc>
          <w:tcPr/>
          <w:p>
            <w:pPr>
              <w:pStyle w:val="Compact"/>
            </w:pPr>
            <w:r>
              <w:t xml:space="preserve">EVC</w:t>
            </w:r>
          </w:p>
        </w:tc>
        <w:tc>
          <w:tcPr/>
          <w:p>
            <w:pPr>
              <w:pStyle w:val="Compact"/>
            </w:pPr>
            <w:r>
              <w:t xml:space="preserve">IIT (</w:t>
            </w:r>
            <ns3:oMath>
              <ns3:r>
                <ns3:rPr>
                  <ns3:sty ns3:val="p"/>
                </ns3:rPr>
                <ns3:t>Φ</ns3:t>
              </ns3:r>
            </ns3:oMath>
            <w:r>
              <w:t xml:space="preserve">)</w:t>
            </w:r>
          </w:p>
        </w:tc>
        <w:tc>
          <w:tcPr/>
          <w:p>
            <w:pPr>
              <w:pStyle w:val="Compact"/>
            </w:pPr>
            <w:r>
              <w:t xml:space="preserve">SRT (</w:t>
            </w:r>
            <ns3:oMath>
              <ns3:sSub>
                <ns3:e>
                  <ns3:r>
                    <ns3:rPr>
                      <ns3:sty ns3:val="p"/>
                    </ns3:rPr>
                    <ns3:t>Ψ</ns3:t>
                  </ns3:r>
                </ns3:e>
                <ns3:sub>
                  <ns3:r>
                    <ns3:t>f</ns3:t>
                  </ns3:r>
                </ns3:sub>
              </ns3:sSub>
            </ns3:oMath>
            <w:r>
              <w:t xml:space="preserve">)</w:t>
            </w:r>
          </w:p>
        </w:tc>
      </w:tr>
      <w:tr>
        <w:tc>
          <w:tcPr/>
          <w:p>
            <w:pPr>
              <w:pStyle w:val="Compact"/>
            </w:pPr>
            <w:r>
              <w:t xml:space="preserve">Cross-modal operationalization</w:t>
            </w:r>
          </w:p>
        </w:tc>
        <w:tc>
          <w:tcPr/>
          <w:p>
            <w:pPr>
              <w:pStyle w:val="Compact"/>
            </w:pPr>
            <w:r>
              <w:t xml:space="preserve">No (behavioral only)</w:t>
            </w:r>
          </w:p>
        </w:tc>
        <w:tc>
          <w:tcPr/>
          <w:p>
            <w:pPr>
              <w:pStyle w:val="Compact"/>
            </w:pPr>
            <w:r>
              <w:t xml:space="preserve">Partial (physiological)</w:t>
            </w:r>
          </w:p>
        </w:tc>
        <w:tc>
          <w:tcPr/>
          <w:p>
            <w:pPr>
              <w:pStyle w:val="Compact"/>
            </w:pPr>
            <w:r>
              <w:t xml:space="preserve">Partial (neural + computational)</w:t>
            </w:r>
          </w:p>
        </w:tc>
        <w:tc>
          <w:tcPr/>
          <w:p>
            <w:pPr>
              <w:pStyle w:val="Compact"/>
            </w:pPr>
            <w:r>
              <w:t xml:space="preserve">Partial (behavioral + computational)</w:t>
            </w:r>
          </w:p>
        </w:tc>
        <w:tc>
          <w:tcPr/>
          <w:p>
            <w:pPr>
              <w:pStyle w:val="Compact"/>
            </w:pPr>
            <w:r>
              <w:t xml:space="preserve">No (neural only)</w:t>
            </w:r>
          </w:p>
        </w:tc>
        <w:tc>
          <w:tcPr/>
          <w:p>
            <w:pPr>
              <w:pStyle w:val="Compact"/>
            </w:pPr>
            <w:r>
              <w:t xml:space="preserve">Yes (4 proxy classes)</w:t>
            </w:r>
          </w:p>
        </w:tc>
      </w:tr>
      <w:tr>
        <w:tc>
          <w:tcPr/>
          <w:p>
            <w:pPr>
              <w:pStyle w:val="Compact"/>
            </w:pPr>
            <w:r>
              <w:t xml:space="preserve">Formal equations</w:t>
            </w:r>
          </w:p>
        </w:tc>
        <w:tc>
          <w:tcPr/>
          <w:p>
            <w:pPr>
              <w:pStyle w:val="Compact"/>
            </w:pPr>
            <w:r>
              <w:t xml:space="preserve">Minimal</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Dynamic cost function</w:t>
            </w:r>
          </w:p>
        </w:tc>
        <w:tc>
          <w:tcPr/>
          <w:p>
            <w:pPr>
              <w:pStyle w:val="Compact"/>
            </w:pPr>
            <w:r>
              <w:t xml:space="preserve">No (static)</w:t>
            </w:r>
          </w:p>
        </w:tc>
        <w:tc>
          <w:tcPr/>
          <w:p>
            <w:pPr>
              <w:pStyle w:val="Compact"/>
            </w:pPr>
            <w:r>
              <w:t xml:space="preserve">Yes (cumulative)</w:t>
            </w:r>
          </w:p>
        </w:tc>
        <w:tc>
          <w:tcPr/>
          <w:p>
            <w:pPr>
              <w:pStyle w:val="Compact"/>
            </w:pPr>
            <w:r>
              <w:t xml:space="preserve">Yes (instantaneous)</w:t>
            </w:r>
          </w:p>
        </w:tc>
        <w:tc>
          <w:tcPr/>
          <w:p>
            <w:pPr>
              <w:pStyle w:val="Compact"/>
            </w:pPr>
            <w:r>
              <w:t xml:space="preserve">Yes (cost-benefit allocation)</w:t>
            </w:r>
          </w:p>
        </w:tc>
        <w:tc>
          <w:tcPr/>
          <w:p>
            <w:pPr>
              <w:pStyle w:val="Compact"/>
            </w:pPr>
            <w:r>
              <w:t xml:space="preserve">No (snapshot)</w:t>
            </w:r>
          </w:p>
        </w:tc>
        <w:tc>
          <w:tcPr/>
          <w:p>
            <w:pPr>
              <w:pStyle w:val="Compact"/>
            </w:pPr>
            <w:r>
              <w:t xml:space="preserve">Yes (accumulated + derivative)</w:t>
            </w:r>
          </w:p>
        </w:tc>
      </w:tr>
      <w:tr>
        <w:tc>
          <w:tcPr/>
          <w:p>
            <w:pPr>
              <w:pStyle w:val="Compact"/>
            </w:pPr>
            <w:r>
              <w:t xml:space="preserve">Clinical disorder specificity</w:t>
            </w:r>
          </w:p>
        </w:tc>
        <w:tc>
          <w:tcPr/>
          <w:p>
            <w:pPr>
              <w:pStyle w:val="Compact"/>
            </w:pPr>
            <w:r>
              <w:t xml:space="preserve">No</w:t>
            </w:r>
          </w:p>
        </w:tc>
        <w:tc>
          <w:tcPr/>
          <w:p>
            <w:pPr>
              <w:pStyle w:val="Compact"/>
            </w:pPr>
            <w:r>
              <w:t xml:space="preserve">Partial</w:t>
            </w:r>
          </w:p>
        </w:tc>
        <w:tc>
          <w:tcPr/>
          <w:p>
            <w:pPr>
              <w:pStyle w:val="Compact"/>
            </w:pPr>
            <w:r>
              <w:t xml:space="preserve">Partial</w:t>
            </w:r>
          </w:p>
        </w:tc>
        <w:tc>
          <w:tcPr/>
          <w:p>
            <w:pPr>
              <w:pStyle w:val="Compact"/>
            </w:pPr>
            <w:r>
              <w:t xml:space="preserve">Partial (task-level, non-nosological)</w:t>
            </w:r>
          </w:p>
        </w:tc>
        <w:tc>
          <w:tcPr/>
          <w:p>
            <w:pPr>
              <w:pStyle w:val="Compact"/>
            </w:pPr>
            <w:r>
              <w:t xml:space="preserve">No</w:t>
            </w:r>
          </w:p>
        </w:tc>
        <w:tc>
          <w:tcPr/>
          <w:p>
            <w:pPr>
              <w:pStyle w:val="Compact"/>
            </w:pPr>
            <w:r>
              <w:t xml:space="preserve">Yes (Table 2)</w:t>
            </w:r>
          </w:p>
        </w:tc>
      </w:tr>
      <w:tr>
        <w:tc>
          <w:tcPr/>
          <w:p>
            <w:pPr>
              <w:pStyle w:val="Compact"/>
            </w:pPr>
            <w:r>
              <w:t xml:space="preserve">Linguistic probe</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 (</w:t>
            </w:r>
            <ns3:oMath>
              <ns3:sSub>
                <ns3:e>
                  <ns3:r>
                    <ns3:t>μ</ns3:t>
                  </ns3:r>
                </ns3:e>
                <ns3:sub>
                  <ns3:r>
                    <ns3:rPr>
                      <ns3:nor/>
                      <ns3:sty ns3:val="p"/>
                    </ns3:rPr>
                    <ns3:t>sem</ns3:t>
                  </ns3:r>
                </ns3:sub>
              </ns3:sSub>
            </ns3:oMath>
            <w:r>
              <w:t xml:space="preserve">)</w:t>
            </w:r>
          </w:p>
        </w:tc>
      </w:tr>
      <w:tr>
        <w:tc>
          <w:tcPr/>
          <w:p>
            <w:pPr>
              <w:pStyle w:val="Compact"/>
            </w:pPr>
            <w:r>
              <w:t xml:space="preserve">Bandwidth saturation model</w:t>
            </w:r>
          </w:p>
        </w:tc>
        <w:tc>
          <w:tcPr/>
          <w:p>
            <w:pPr>
              <w:pStyle w:val="Compact"/>
            </w:pPr>
            <w:r>
              <w:t xml:space="preserve">No</w:t>
            </w:r>
          </w:p>
        </w:tc>
        <w:tc>
          <w:tcPr/>
          <w:p>
            <w:pPr>
              <w:pStyle w:val="Compact"/>
            </w:pPr>
            <w:r>
              <w:t xml:space="preserve">No</w:t>
            </w:r>
          </w:p>
        </w:tc>
        <w:tc>
          <w:tcPr/>
          <w:p>
            <w:pPr>
              <w:pStyle w:val="Compact"/>
            </w:pPr>
            <w:r>
              <w:t xml:space="preserve">Implicit</w:t>
            </w:r>
          </w:p>
        </w:tc>
        <w:tc>
          <w:tcPr/>
          <w:p>
            <w:pPr>
              <w:pStyle w:val="Compact"/>
            </w:pPr>
            <w:r>
              <w:t xml:space="preserve">Not explicit</w:t>
            </w:r>
          </w:p>
        </w:tc>
        <w:tc>
          <w:tcPr/>
          <w:p>
            <w:pPr>
              <w:pStyle w:val="Compact"/>
            </w:pPr>
            <w:r>
              <w:t xml:space="preserve">No</w:t>
            </w:r>
          </w:p>
        </w:tc>
        <w:tc>
          <w:tcPr/>
          <w:p>
            <w:pPr>
              <w:pStyle w:val="Compact"/>
            </w:pPr>
            <w:r>
              <w:t xml:space="preserve">Yes (Equation 7)</w:t>
            </w:r>
          </w:p>
        </w:tc>
      </w:tr>
      <w:tr>
        <w:tc>
          <w:tcPr/>
          <w:p>
            <w:pPr>
              <w:pStyle w:val="Compact"/>
            </w:pPr>
            <w:r>
              <w:t xml:space="preserve">Explains knowing–doing gap</w:t>
            </w:r>
          </w:p>
        </w:tc>
        <w:tc>
          <w:tcPr/>
          <w:p>
            <w:pPr>
              <w:pStyle w:val="Compact"/>
            </w:pPr>
            <w:r>
              <w:t xml:space="preserve">Partially</w:t>
            </w:r>
          </w:p>
        </w:tc>
        <w:tc>
          <w:tcPr/>
          <w:p>
            <w:pPr>
              <w:pStyle w:val="Compact"/>
            </w:pPr>
            <w:r>
              <w:t xml:space="preserve">No</w:t>
            </w:r>
          </w:p>
        </w:tc>
        <w:tc>
          <w:tcPr/>
          <w:p>
            <w:pPr>
              <w:pStyle w:val="Compact"/>
            </w:pPr>
            <w:r>
              <w:t xml:space="preserve">Partially</w:t>
            </w:r>
          </w:p>
        </w:tc>
        <w:tc>
          <w:tcPr/>
          <w:p>
            <w:pPr>
              <w:pStyle w:val="Compact"/>
            </w:pPr>
            <w:r>
              <w:t xml:space="preserve">Partially</w:t>
            </w:r>
          </w:p>
        </w:tc>
        <w:tc>
          <w:tcPr/>
          <w:p>
            <w:pPr>
              <w:pStyle w:val="Compact"/>
            </w:pPr>
            <w:r>
              <w:t xml:space="preserve">No</w:t>
            </w:r>
          </w:p>
        </w:tc>
        <w:tc>
          <w:tcPr/>
          <w:p>
            <w:pPr>
              <w:pStyle w:val="Compact"/>
            </w:pPr>
            <w:r>
              <w:t xml:space="preserve">Yes</w:t>
            </w:r>
          </w:p>
        </w:tc>
      </w:tr>
    </w:tbl>
    <w:p>
      <w:pPr>
        <w:pStyle w:val="BodyText"/>
      </w:pPr>
      <w:r>
        <w:t xml:space="preserve">This comparison is not intended to argue that</w:t>
      </w:r>
      <w:r>
        <w:t xml:space="preserve"> </w:t>
      </w:r>
      <ns3:oMath>
        <ns3:sSub>
          <ns3:e>
            <ns3:r>
              <ns3:rPr>
                <ns3:sty ns3:val="p"/>
              </ns3:rPr>
              <ns3:t>Ψ</ns3:t>
            </ns3:r>
          </ns3:e>
          <ns3:sub>
            <ns3:r>
              <ns3:t>f</ns3:t>
            </ns3:r>
          </ns3:sub>
        </ns3:sSub>
      </ns3:oMath>
      <w:r>
        <w:t xml:space="preserve"> </w:t>
      </w:r>
      <w:r>
        <w:t xml:space="preserve">replaces existing frameworks. Rather,</w:t>
      </w:r>
      <w:r>
        <w:t xml:space="preserve"> </w:t>
      </w:r>
      <ns3:oMath>
        <ns3:sSub>
          <ns3:e>
            <ns3:r>
              <ns3:rPr>
                <ns3:sty ns3:val="p"/>
              </ns3:rPr>
              <ns3:t>Ψ</ns3:t>
            </ns3:r>
          </ns3:e>
          <ns3:sub>
            <ns3:r>
              <ns3:t>f</ns3:t>
            </ns3:r>
          </ns3:sub>
        </ns3:sSub>
      </ns3:oMath>
      <w:r>
        <w:t xml:space="preserve"> </w:t>
      </w:r>
      <w:r>
        <w:t xml:space="preserve">can be understood as a generalization that subsumes aspects of each: it includes cognitive load as a behavioral special case, allostatic load as a physiological special case, and variational complexity as an information-theoretic special case, while adding explicit cross-modal latent modeling and dissociation predictions.</w:t>
      </w:r>
    </w:p>
    <w:p>
      <w:pPr>
        <w:pStyle w:val="BodyText"/>
      </w:pPr>
      <w:r>
        <w:t xml:space="preserve">Relative to the Expected Value of Control (EVC) framework (Shenhav et al., 2013; Shenhav et al., 2017),</w:t>
      </w:r>
      <w:r>
        <w:t xml:space="preserve"> </w:t>
      </w:r>
      <ns3:oMath>
        <ns3:sSub>
          <ns3:e>
            <ns3:r>
              <ns3:rPr>
                <ns3:sty ns3:val="p"/>
              </ns3:rPr>
              <ns3:t>Ψ</ns3:t>
            </ns3:r>
          </ns3:e>
          <ns3:sub>
            <ns3:r>
              <ns3:t>f</ns3:t>
            </ns3:r>
          </ns3:sub>
        </ns3:sSub>
      </ns3:oMath>
      <w:r>
        <w:t xml:space="preserve"> </w:t>
      </w:r>
      <w:r>
        <w:t xml:space="preserve">is closest to a transmodal control-cost extension: both treat control as a cost-constrained process, but</w:t>
      </w:r>
      <w:r>
        <w:t xml:space="preserve"> </w:t>
      </w:r>
      <ns3:oMath>
        <ns3:sSub>
          <ns3:e>
            <ns3:r>
              <ns3:rPr>
                <ns3:sty ns3:val="p"/>
              </ns3:rPr>
              <ns3:t>Ψ</ns3:t>
            </ns3:r>
          </ns3:e>
          <ns3:sub>
            <ns3:r>
              <ns3:t>f</ns3:t>
            </ns3:r>
          </ns3:sub>
        </ns3:sSub>
      </ns3:oMath>
      <w:r>
        <w:t xml:space="preserve"> </w:t>
      </w:r>
      <w:r>
        <w:t xml:space="preserve">explicitly predicts disorder-specific cross-domain dissociations (e.g., high</w:t>
      </w:r>
      <w:r>
        <w:t xml:space="preserve"> </w:t>
      </w:r>
      <ns3:oMath>
        <ns3:sSub>
          <ns3:e>
            <ns3:r>
              <ns3:t>μ</ns3:t>
            </ns3:r>
          </ns3:e>
          <ns3:sub>
            <ns3:r>
              <ns3:rPr>
                <ns3:nor/>
                <ns3:sty ns3:val="p"/>
              </ns3:rPr>
              <ns3:t>sem</ns3:t>
            </ns3:r>
          </ns3:sub>
        </ns3:sSub>
      </ns3:oMath>
      <w:r>
        <w:t xml:space="preserve"> </w:t>
      </w:r>
      <w:r>
        <w:t xml:space="preserve">with near-normal PCI in OCD) that are not native outputs of single-task EVC fits. This positioning is consistent with computational psychiatry goals of mechanistic yet clinically testable bridges (Huys et al., 2016).</w:t>
      </w:r>
    </w:p>
    <w:bookmarkEnd w:id="57"/>
    <w:bookmarkStart w:id="58" w:name="limitations-and-boundary-conditions"/>
    <w:p>
      <w:pPr>
        <w:pStyle w:val="Heading3"/>
      </w:pPr>
      <w:r>
        <w:t xml:space="preserve">6.3 Limitations and Boundary Conditions</w:t>
      </w:r>
    </w:p>
    <w:p>
      <w:pPr>
        <w:pStyle w:val="FirstParagraph"/>
      </w:pPr>
      <w:r>
        <w:t xml:space="preserve">Several important limitations must be acknowledged.</w:t>
      </w:r>
    </w:p>
    <w:p>
      <w:pPr>
        <w:pStyle w:val="BodyText"/>
      </w:pPr>
      <w:r>
        <w:t xml:space="preserve">First,</w:t>
      </w:r>
      <w:r>
        <w:t xml:space="preserve"> </w:t>
      </w:r>
      <ns3:oMath>
        <ns3:sSub>
          <ns3:e>
            <ns3:r>
              <ns3:rPr>
                <ns3:sty ns3:val="p"/>
              </ns3:rPr>
              <ns3:t>Ψ</ns3:t>
            </ns3:r>
          </ns3:e>
          <ns3:sub>
            <ns3:r>
              <ns3:t>f</ns3:t>
            </ns3:r>
          </ns3:sub>
        </ns3:sSub>
      </ns3:oMath>
      <w:r>
        <w:t xml:space="preserve"> </w:t>
      </w:r>
      <w:r>
        <w:t xml:space="preserve">is a</w:t>
      </w:r>
      <w:r>
        <w:t xml:space="preserve"> </w:t>
      </w:r>
      <w:r>
        <w:rPr>
          <w:i/>
          <w:iCs/>
        </w:rPr>
        <w:t xml:space="preserve">latent construct</w:t>
      </w:r>
      <w:r>
        <w:t xml:space="preserve"> </w:t>
      </w:r>
      <w:r>
        <w:t xml:space="preserve">inferred from multiple indicators. No single measure is sufficient, and the convergent validity of the four proxy classes is an empirical claim that remains to be tested. If the structural equation model (§3.5) fails to support a single-factor solution, the framework requires fundamental revision.</w:t>
      </w:r>
    </w:p>
    <w:p>
      <w:pPr>
        <w:pStyle w:val="BodyText"/>
      </w:pPr>
      <w:r>
        <w:t xml:space="preserve">Second, the modal verb probe (</w:t>
      </w:r>
      <ns3:oMath>
        <ns3:sSub>
          <ns3:e>
            <ns3:r>
              <ns3:t>μ</ns3:t>
            </ns3:r>
          </ns3:e>
          <ns3:sub>
            <ns3:r>
              <ns3:rPr>
                <ns3:nor/>
                <ns3:sty ns3:val="p"/>
              </ns3:rPr>
              <ns3:t>sem</ns3:t>
            </ns3:r>
          </ns3:sub>
        </ns3:sSub>
      </ns3:oMath>
      <w:r>
        <w:t xml:space="preserve">) may be</w:t>
      </w:r>
      <w:r>
        <w:t xml:space="preserve"> </w:t>
      </w:r>
      <w:r>
        <w:rPr>
          <w:i/>
          <w:iCs/>
        </w:rPr>
        <w:t xml:space="preserve">language-specific</w:t>
      </w:r>
      <w:r>
        <w:t xml:space="preserve">. The inventory of modal verbs and their semantic valence varies across languages (Palmer, 2001), and the constraint/possibility distinction may not partition cleanly in all linguistic systems. Cross-linguistic validation with Mandarin Chinese, German, and Arabic modal systems is a necessary follow-up.</w:t>
      </w:r>
    </w:p>
    <w:p>
      <w:pPr>
        <w:pStyle w:val="BodyText"/>
      </w:pPr>
      <w:r>
        <w:t xml:space="preserve">Third, distress and pain are</w:t>
      </w:r>
      <w:r>
        <w:t xml:space="preserve"> </w:t>
      </w:r>
      <w:r>
        <w:rPr>
          <w:i/>
          <w:iCs/>
        </w:rPr>
        <w:t xml:space="preserve">not</w:t>
      </w:r>
      <w:r>
        <w:t xml:space="preserve"> </w:t>
      </w:r>
      <w:r>
        <w:t xml:space="preserve">assumed to be generated solely by control cost. Equation (4) is a conditional hazard model; nociceptive injury, social threat, affective dysregulation, and appraisal shifts can all elevate distress even when</w:t>
      </w:r>
      <w:r>
        <w:t xml:space="preserve"> </w:t>
      </w:r>
      <ns3:oMath>
        <ns3:r>
          <ns3:t>d</ns3:t>
        </ns3:r>
        <ns3:sSub>
          <ns3:e>
            <ns3:r>
              <ns3:rPr>
                <ns3:sty ns3:val="p"/>
              </ns3:rPr>
              <ns3:t>Ψ</ns3:t>
            </ns3:r>
          </ns3:e>
          <ns3:sub>
            <ns3:r>
              <ns3:t>f</ns3:t>
            </ns3:r>
          </ns3:sub>
        </ns3:sSub>
        <ns3:r>
          <ns3:rPr>
            <ns3:sty ns3:val="p"/>
          </ns3:rPr>
          <ns3:t>/</ns3:t>
        </ns3:r>
        <ns3:r>
          <ns3:t>d</ns3:t>
        </ns3:r>
        <ns3:r>
          <ns3:t>t</ns3:t>
        </ns3:r>
      </ns3:oMath>
      <w:r>
        <w:t xml:space="preserve"> </w:t>
      </w:r>
      <w:r>
        <w:t xml:space="preserve">is modest. This is why we model a hazard family with smoothing and appraisal terms rather than a one-to-one derivative identity.</w:t>
      </w:r>
    </w:p>
    <w:p>
      <w:pPr>
        <w:pStyle w:val="BodyText"/>
      </w:pPr>
      <w:r>
        <w:t xml:space="preserve">Fourth, the ROS coupling hypothesis (Equation 9) requires</w:t>
      </w:r>
      <w:r>
        <w:t xml:space="preserve"> </w:t>
      </w:r>
      <w:r>
        <w:rPr>
          <w:i/>
          <w:iCs/>
        </w:rPr>
        <w:t xml:space="preserve">longitudinal data</w:t>
      </w:r>
      <w:r>
        <w:t xml:space="preserve"> </w:t>
      </w:r>
      <w:r>
        <w:t xml:space="preserve">to establish temporal precedence. A cross-sectional correlation between</w:t>
      </w:r>
      <w:r>
        <w:t xml:space="preserve"> </w:t>
      </w:r>
      <ns3:oMath>
        <ns3:sSub>
          <ns3:e>
            <ns3:r>
              <ns3:rPr>
                <ns3:sty ns3:val="p"/>
              </ns3:rPr>
              <ns3:t>Ψ</ns3:t>
            </ns3:r>
          </ns3:e>
          <ns3:sub>
            <ns3:r>
              <ns3:t>f</ns3:t>
            </ns3:r>
          </ns3:sub>
        </ns3:sSub>
      </ns3:oMath>
      <w:r>
        <w:t xml:space="preserve"> </w:t>
      </w:r>
      <w:r>
        <w:t xml:space="preserve">and ROS markers, while consistent with the model, does not establish directionality. Prospective designs and intervention studies (manipulating</w:t>
      </w:r>
      <w:r>
        <w:t xml:space="preserve"> </w:t>
      </w:r>
      <ns3:oMath>
        <ns3:sSub>
          <ns3:e>
            <ns3:r>
              <ns3:rPr>
                <ns3:sty ns3:val="p"/>
              </ns3:rPr>
              <ns3:t>Ψ</ns3:t>
            </ns3:r>
          </ns3:e>
          <ns3:sub>
            <ns3:r>
              <ns3:t>f</ns3:t>
            </ns3:r>
          </ns3:sub>
        </ns3:sSub>
      </ns3:oMath>
      <w:r>
        <w:t xml:space="preserve"> </w:t>
      </w:r>
      <w:r>
        <w:t xml:space="preserve">and measuring ROS change) are essential.</w:t>
      </w:r>
    </w:p>
    <w:p>
      <w:pPr>
        <w:pStyle w:val="BodyText"/>
      </w:pPr>
      <w:r>
        <w:t xml:space="preserve">Fifth, the equations presented (Equations 3a-6) use simplified functional forms. In particular, the control-cost quadratic form in Equation (3c), the KL form in Equation (3d), and its local Fisher approximation in Equation (3d’) are modeling choices, not identifiability guarantees. The precise friction-cost shape (quadratic, piecewise, exponential, or sigmoidal) remains an empirical question.</w:t>
      </w:r>
    </w:p>
    <w:p>
      <w:pPr>
        <w:pStyle w:val="BodyText"/>
      </w:pPr>
      <w:r>
        <w:t xml:space="preserve">Sixth, the framework is</w:t>
      </w:r>
      <w:r>
        <w:t xml:space="preserve"> </w:t>
      </w:r>
      <w:r>
        <w:rPr>
          <w:i/>
          <w:iCs/>
        </w:rPr>
        <w:t xml:space="preserve">silent on the hard problem of consciousness</w:t>
      </w:r>
      <w:r>
        <w:t xml:space="preserve"> </w:t>
      </w:r>
      <w:r>
        <w:t xml:space="preserve">in the Chalmersian sense (Chalmers, 1995).</w:t>
      </w:r>
      <w:r>
        <w:t xml:space="preserve"> </w:t>
      </w:r>
      <ns3:oMath>
        <ns3:sSub>
          <ns3:e>
            <ns3:r>
              <ns3:rPr>
                <ns3:sty ns3:val="p"/>
              </ns3:rPr>
              <ns3:t>Ψ</ns3:t>
            </ns3:r>
          </ns3:e>
          <ns3:sub>
            <ns3:r>
              <ns3:t>f</ns3:t>
            </ns3:r>
          </ns3:sub>
        </ns3:sSub>
      </ns3:oMath>
      <w:r>
        <w:t xml:space="preserve"> </w:t>
      </w:r>
      <w:r>
        <w:t xml:space="preserve">provides a measurable correlate of the cost of maintaining conscious states, but it does not explain</w:t>
      </w:r>
      <w:r>
        <w:t xml:space="preserve"> </w:t>
      </w:r>
      <w:r>
        <w:rPr>
          <w:i/>
          <w:iCs/>
        </w:rPr>
        <w:t xml:space="preserve">why</w:t>
      </w:r>
      <w:r>
        <w:t xml:space="preserve"> </w:t>
      </w:r>
      <w:r>
        <w:t xml:space="preserve">subjective experience accompanies high-friction processing. We view this as an appropriate scope limitation rather than a deficiency.</w:t>
      </w:r>
    </w:p>
    <w:p>
      <w:pPr>
        <w:pStyle w:val="BodyText"/>
      </w:pPr>
      <w:r>
        <w:t xml:space="preserve">Seventh, this paper reports</w:t>
      </w:r>
      <w:r>
        <w:t xml:space="preserve"> </w:t>
      </w:r>
      <w:r>
        <w:rPr>
          <w:i/>
          <w:iCs/>
        </w:rPr>
        <w:t xml:space="preserve">no empirical data</w:t>
      </w:r>
      <w:r>
        <w:t xml:space="preserve">. While we have specified protocols with sufficient detail for pre-registration and replication, the entire framework remains at the stage of theoretical proposal until the validation program (§5.6) is executed.</w:t>
      </w:r>
    </w:p>
    <w:bookmarkEnd w:id="58"/>
    <w:bookmarkStart w:id="59" w:name="alternative-models-and-decisive-tests"/>
    <w:p>
      <w:pPr>
        <w:pStyle w:val="Heading3"/>
      </w:pPr>
      <w:r>
        <w:t xml:space="preserve">6.4 Alternative Models and Decisive Tests</w:t>
      </w:r>
    </w:p>
    <w:p>
      <w:pPr>
        <w:pStyle w:val="FirstParagraph"/>
      </w:pPr>
      <w:r>
        <w:t xml:space="preserve">The framework is designed to be partially rejectable rather than all-or-none. Key adjudication rules are:</w:t>
      </w:r>
    </w:p>
    <w:p>
      <w:pPr>
        <w:pStyle w:val="Compact"/>
        <w:numPr>
          <w:ilvl w:val="0"/>
          <w:numId w:val="1005"/>
        </w:numPr>
      </w:pPr>
      <w:r>
        <w:t xml:space="preserve">If linear models consistently outperform changepoint models, reject the saturation component (Eq. 7b) while retaining additive control-cost formulations.</w:t>
      </w:r>
    </w:p>
    <w:p>
      <w:pPr>
        <w:pStyle w:val="Compact"/>
        <w:numPr>
          <w:ilvl w:val="0"/>
          <w:numId w:val="1005"/>
        </w:numPr>
      </w:pPr>
      <w:r>
        <w:t xml:space="preserve">If cross-modal convergence fails (between-domain correlations uniformly</w:t>
      </w:r>
      <w:r>
        <w:t xml:space="preserve"> </w:t>
      </w:r>
      <ns3:oMath>
        <ns3:r>
          <ns3:rPr>
            <ns3:sty ns3:val="p"/>
          </ns3:rPr>
          <ns3:t>&lt;</ns3:t>
        </ns3:r>
        <ns3:r>
          <ns3:t>0.15</ns3:t>
        </ns3:r>
      </ns3:oMath>
      <w:r>
        <w:t xml:space="preserve">), reject the single latent-factor claim and move to domain-specific modules.</w:t>
      </w:r>
    </w:p>
    <w:p>
      <w:pPr>
        <w:pStyle w:val="Compact"/>
        <w:numPr>
          <w:ilvl w:val="0"/>
          <w:numId w:val="1005"/>
        </w:numPr>
      </w:pPr>
      <w:r>
        <w:t xml:space="preserve">If</w:t>
      </w:r>
      <w:r>
        <w:t xml:space="preserve"> </w:t>
      </w:r>
      <ns3:oMath>
        <ns3:sSub>
          <ns3:e>
            <ns3:r>
              <ns3:t>μ</ns3:t>
            </ns3:r>
          </ns3:e>
          <ns3:sub>
            <ns3:r>
              <ns3:rPr>
                <ns3:nor/>
                <ns3:sty ns3:val="p"/>
              </ns3:rPr>
              <ns3:t>sem</ns3:t>
            </ns3:r>
          </ns3:sub>
        </ns3:sSub>
      </ns3:oMath>
      <w:r>
        <w:t xml:space="preserve"> </w:t>
      </w:r>
      <w:r>
        <w:t xml:space="preserve">lacks context sensitivity or incremental validity, remove the linguistic probe from the core chain and retain behavioral-physiological modeling.</w:t>
      </w:r>
    </w:p>
    <w:p>
      <w:pPr>
        <w:pStyle w:val="Compact"/>
        <w:numPr>
          <w:ilvl w:val="0"/>
          <w:numId w:val="1005"/>
        </w:numPr>
      </w:pPr>
      <w:r>
        <w:t xml:space="preserve">If optional expansion markers (ROS/PCI/Fisher) do not add predictive value, retain the core chain and demote expansion markers to exploratory status.</w:t>
      </w:r>
    </w:p>
    <w:p>
      <w:pPr>
        <w:pStyle w:val="FirstParagraph"/>
      </w:pPr>
      <w:r>
        <w:t xml:space="preserve">These outcomes define explicit model-pruning pathways and prevent post hoc theory protection.</w:t>
      </w:r>
    </w:p>
    <w:p>
      <w:pPr>
        <w:pStyle w:val="BodyText"/>
      </w:pPr>
      <w:r>
        <w:rPr>
          <w:b/>
          <w:bCs/>
        </w:rPr>
        <w:t xml:space="preserve">Table 5. Alternative-model adjudication matrix (pre-registered decision rules).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Competing account</w:t>
            </w:r>
          </w:p>
        </w:tc>
        <w:tc>
          <w:tcPr/>
          <w:p>
            <w:pPr>
              <w:pStyle w:val="Compact"/>
            </w:pPr>
            <w:r>
              <w:t xml:space="preserve">Core competing prediction</w:t>
            </w:r>
          </w:p>
        </w:tc>
        <w:tc>
          <w:tcPr/>
          <w:p>
            <w:pPr>
              <w:pStyle w:val="Compact"/>
            </w:pPr>
            <ns3:oMath>
              <ns3:sSub>
                <ns3:e>
                  <ns3:r>
                    <ns3:rPr>
                      <ns3:sty ns3:val="p"/>
                    </ns3:rPr>
                    <ns3:t>Ψ</ns3:t>
                  </ns3:r>
                </ns3:e>
                <ns3:sub>
                  <ns3:r>
                    <ns3:t>f</ns3:t>
                  </ns3:r>
                </ns3:sub>
              </ns3:sSub>
            </ns3:oMath>
            <w:r>
              <w:t xml:space="preserve"> </w:t>
            </w:r>
            <w:r>
              <w:t xml:space="preserve">prediction</w:t>
            </w:r>
          </w:p>
        </w:tc>
        <w:tc>
          <w:tcPr/>
          <w:p>
            <w:pPr>
              <w:pStyle w:val="Compact"/>
            </w:pPr>
            <w:r>
              <w:t xml:space="preserve">Decisive test</w:t>
            </w:r>
          </w:p>
        </w:tc>
        <w:tc>
          <w:tcPr/>
          <w:p>
            <w:pPr>
              <w:pStyle w:val="Compact"/>
            </w:pPr>
            <w:r>
              <w:t xml:space="preserve">Predefined decision rule</w:t>
            </w:r>
          </w:p>
        </w:tc>
      </w:tr>
      <w:tr>
        <w:tc>
          <w:tcPr/>
          <w:p>
            <w:pPr>
              <w:pStyle w:val="Compact"/>
            </w:pPr>
            <w:r>
              <w:t xml:space="preserve">Additive resource model</w:t>
            </w:r>
          </w:p>
        </w:tc>
        <w:tc>
          <w:tcPr/>
          <w:p>
            <w:pPr>
              <w:pStyle w:val="Compact"/>
            </w:pPr>
            <w:r>
              <w:t xml:space="preserve">Switch cost rises approximately linearly with load</w:t>
            </w:r>
          </w:p>
        </w:tc>
        <w:tc>
          <w:tcPr/>
          <w:p>
            <w:pPr>
              <w:pStyle w:val="Compact"/>
            </w:pPr>
            <w:r>
              <w:t xml:space="preserve">Changepoint/nonlinear acceleration near</w:t>
            </w:r>
            <w:r>
              <w:t xml:space="preserve"> </w:t>
            </w:r>
            <ns3:oMath>
              <ns3:sSubSup>
                <ns3:e>
                  <ns3:r>
                    <ns3:t>ρ</ns3:t>
                  </ns3:r>
                </ns3:e>
                <ns3:sub>
                  <ns3:r>
                    <ns3:t>c</ns3:t>
                  </ns3:r>
                </ns3:sub>
                <ns3:sup>
                  <ns3:r>
                    <ns3:rPr>
                      <ns3:sty ns3:val="p"/>
                    </ns3:rPr>
                    <ns3:t>*</ns3:t>
                  </ns3:r>
                </ns3:sup>
              </ns3:sSubSup>
            </ns3:oMath>
          </w:p>
        </w:tc>
        <w:tc>
          <w:tcPr/>
          <w:p>
            <w:pPr>
              <w:pStyle w:val="Compact"/>
            </w:pPr>
            <w:r>
              <w:t xml:space="preserve">Compare linear vs changepoint models in H-NEURO-EXEC-01</w:t>
            </w:r>
          </w:p>
        </w:tc>
        <w:tc>
          <w:tcPr/>
          <w:p>
            <w:pPr>
              <w:pStyle w:val="Compact"/>
            </w:pPr>
            <w:r>
              <w:t xml:space="preserve">If linear fit</w:t>
            </w:r>
            <w:r>
              <w:t xml:space="preserve"> </w:t>
            </w:r>
            <ns3:oMath>
              <ns3:r>
                <ns3:rPr>
                  <ns3:sty ns3:val="p"/>
                </ns3:rPr>
                <ns3:t>≥</ns3:t>
              </ns3:r>
            </ns3:oMath>
            <w:r>
              <w:t xml:space="preserve"> </w:t>
            </w:r>
            <w:r>
              <w:t xml:space="preserve">changepoint in primary</w:t>
            </w:r>
            <w:r>
              <w:t xml:space="preserve"> </w:t>
            </w:r>
            <ns3:oMath>
              <ns3:sSup>
                <ns3:e>
                  <ns3:r>
                    <ns3:t>ρ</ns3:t>
                  </ns3:r>
                </ns3:e>
                <ns3:sup>
                  <ns3:r>
                    <ns3:rPr>
                      <ns3:sty ns3:val="p"/>
                    </ns3:rPr>
                    <ns3:t>*</ns3:t>
                  </ns3:r>
                </ns3:sup>
              </ns3:sSup>
            </ns3:oMath>
            <w:r>
              <w:t xml:space="preserve"> </w:t>
            </w:r>
            <w:r>
              <w:t xml:space="preserve">analysis, reject saturation component</w:t>
            </w:r>
          </w:p>
        </w:tc>
      </w:tr>
      <w:tr>
        <w:tc>
          <w:tcPr/>
          <w:p>
            <w:pPr>
              <w:pStyle w:val="Compact"/>
            </w:pPr>
            <w:r>
              <w:t xml:space="preserve">Generic symptom-severity model</w:t>
            </w:r>
          </w:p>
        </w:tc>
        <w:tc>
          <w:tcPr/>
          <w:p>
            <w:pPr>
              <w:pStyle w:val="Compact"/>
            </w:pPr>
            <w:r>
              <w:t xml:space="preserve">Clinical groups differ mainly by global severity</w:t>
            </w:r>
          </w:p>
        </w:tc>
        <w:tc>
          <w:tcPr/>
          <w:p>
            <w:pPr>
              <w:pStyle w:val="Compact"/>
            </w:pPr>
            <w:r>
              <w:t xml:space="preserve">Disorder-specific dissociations (Table 2)</w:t>
            </w:r>
          </w:p>
        </w:tc>
        <w:tc>
          <w:tcPr/>
          <w:p>
            <w:pPr>
              <w:pStyle w:val="Compact"/>
            </w:pPr>
            <w:r>
              <w:t xml:space="preserve">Phase-2 contrasts in §4.5</w:t>
            </w:r>
          </w:p>
        </w:tc>
        <w:tc>
          <w:tcPr/>
          <w:p>
            <w:pPr>
              <w:pStyle w:val="Compact"/>
            </w:pPr>
            <w:r>
              <w:t xml:space="preserve">If dissociation contrasts fail, downgrade to transdiagnostic severity interpretation</w:t>
            </w:r>
          </w:p>
        </w:tc>
      </w:tr>
      <w:tr>
        <w:tc>
          <w:tcPr/>
          <w:p>
            <w:pPr>
              <w:pStyle w:val="Compact"/>
            </w:pPr>
            <w:r>
              <w:t xml:space="preserve">Language-style/trait model</w:t>
            </w:r>
          </w:p>
        </w:tc>
        <w:tc>
          <w:tcPr/>
          <w:p>
            <w:pPr>
              <w:pStyle w:val="Compact"/>
            </w:pPr>
            <ns3:oMath>
              <ns3:sSub>
                <ns3:e>
                  <ns3:r>
                    <ns3:t>μ</ns3:t>
                  </ns3:r>
                </ns3:e>
                <ns3:sub>
                  <ns3:r>
                    <ns3:rPr>
                      <ns3:nor/>
                      <ns3:sty ns3:val="p"/>
                    </ns3:rPr>
                    <ns3:t>sem</ns3:t>
                  </ns3:r>
                </ns3:sub>
              </ns3:sSub>
            </ns3:oMath>
            <w:r>
              <w:t xml:space="preserve"> </w:t>
            </w:r>
            <w:r>
              <w:t xml:space="preserve">mostly stable stylistic variance</w:t>
            </w:r>
          </w:p>
        </w:tc>
        <w:tc>
          <w:tcPr/>
          <w:p>
            <w:pPr>
              <w:pStyle w:val="Compact"/>
            </w:pPr>
            <w:r>
              <w:t xml:space="preserve">Context-sensitive shifts + incremental validity</w:t>
            </w:r>
          </w:p>
        </w:tc>
        <w:tc>
          <w:tcPr/>
          <w:p>
            <w:pPr>
              <w:pStyle w:val="Compact"/>
            </w:pPr>
            <w:r>
              <w:t xml:space="preserve">H72 context contrast +</w:t>
            </w:r>
            <w:r>
              <w:t xml:space="preserve"> </w:t>
            </w:r>
            <ns3:oMath>
              <ns3:r>
                <ns3:rPr>
                  <ns3:sty ns3:val="p"/>
                </ns3:rPr>
                <ns3:t>Δ</ns3:t>
              </ns3:r>
              <ns3:sSup>
                <ns3:e>
                  <ns3:r>
                    <ns3:t>R</ns3:t>
                  </ns3:r>
                </ns3:e>
                <ns3:sup>
                  <ns3:r>
                    <ns3:t>2</ns3:t>
                  </ns3:r>
                </ns3:sup>
              </ns3:sSup>
            </ns3:oMath>
            <w:r>
              <w:t xml:space="preserve"> </w:t>
            </w:r>
            <w:r>
              <w:t xml:space="preserve">over PHQ-9/GAD-7/affect controls</w:t>
            </w:r>
          </w:p>
        </w:tc>
        <w:tc>
          <w:tcPr/>
          <w:p>
            <w:pPr>
              <w:pStyle w:val="Compact"/>
            </w:pPr>
            <w:r>
              <w:t xml:space="preserve">If no context effect and</w:t>
            </w:r>
            <w:r>
              <w:t xml:space="preserve"> </w:t>
            </w:r>
            <ns3:oMath>
              <ns3:r>
                <ns3:rPr>
                  <ns3:sty ns3:val="p"/>
                </ns3:rPr>
                <ns3:t>Δ</ns3:t>
              </ns3:r>
              <ns3:sSup>
                <ns3:e>
                  <ns3:r>
                    <ns3:t>R</ns3:t>
                  </ns3:r>
                </ns3:e>
                <ns3:sup>
                  <ns3:r>
                    <ns3:t>2</ns3:t>
                  </ns3:r>
                </ns3:sup>
              </ns3:sSup>
              <ns3:r>
                <ns3:rPr>
                  <ns3:sty ns3:val="p"/>
                </ns3:rPr>
                <ns3:t>&lt;</ns3:t>
              </ns3:r>
              <ns3:r>
                <ns3:t>0.02</ns3:t>
              </ns3:r>
            </ns3:oMath>
            <w:r>
              <w:t xml:space="preserve">, remove linguistic probe from core model</w:t>
            </w:r>
          </w:p>
        </w:tc>
      </w:tr>
      <w:tr>
        <w:tc>
          <w:tcPr/>
          <w:p>
            <w:pPr>
              <w:pStyle w:val="Compact"/>
            </w:pPr>
            <w:r>
              <w:t xml:space="preserve">Global-deficit account</w:t>
            </w:r>
          </w:p>
        </w:tc>
        <w:tc>
          <w:tcPr/>
          <w:p>
            <w:pPr>
              <w:pStyle w:val="Compact"/>
            </w:pPr>
            <w:r>
              <w:t xml:space="preserve">Expansion markers add little structure beyond symptoms</w:t>
            </w:r>
          </w:p>
        </w:tc>
        <w:tc>
          <w:tcPr/>
          <w:p>
            <w:pPr>
              <w:pStyle w:val="Compact"/>
            </w:pPr>
            <w:r>
              <w:t xml:space="preserve">Optional expansion markers may add mechanistic precision</w:t>
            </w:r>
          </w:p>
        </w:tc>
        <w:tc>
          <w:tcPr/>
          <w:p>
            <w:pPr>
              <w:pStyle w:val="Compact"/>
            </w:pPr>
            <w:r>
              <w:t xml:space="preserve">Compare core vs expansion model fit in phase-3</w:t>
            </w:r>
          </w:p>
        </w:tc>
        <w:tc>
          <w:tcPr/>
          <w:p>
            <w:pPr>
              <w:pStyle w:val="Compact"/>
            </w:pPr>
            <w:r>
              <w:t xml:space="preserve">If no incremental value, retain core chain and demote expansion markers to exploratory</w:t>
            </w:r>
          </w:p>
        </w:tc>
      </w:tr>
    </w:tbl>
    <w:bookmarkEnd w:id="59"/>
    <w:bookmarkStart w:id="60" w:name="translational-potential"/>
    <w:p>
      <w:pPr>
        <w:pStyle w:val="Heading3"/>
      </w:pPr>
      <w:r>
        <w:t xml:space="preserve">6.5 Translational Potential</w:t>
      </w:r>
    </w:p>
    <w:p>
      <w:pPr>
        <w:pStyle w:val="FirstParagraph"/>
      </w:pPr>
      <w:r>
        <w:t xml:space="preserve">If empirically validated, the</w:t>
      </w:r>
      <w:r>
        <w:t xml:space="preserve"> </w:t>
      </w:r>
      <ns3:oMath>
        <ns3:sSub>
          <ns3:e>
            <ns3:r>
              <ns3:rPr>
                <ns3:sty ns3:val="p"/>
              </ns3:rPr>
              <ns3:t>Ψ</ns3:t>
            </ns3:r>
          </ns3:e>
          <ns3:sub>
            <ns3:r>
              <ns3:t>f</ns3:t>
            </ns3:r>
          </ns3:sub>
        </ns3:sSub>
      </ns3:oMath>
      <w:r>
        <w:t xml:space="preserve"> </w:t>
      </w:r>
      <w:r>
        <w:t xml:space="preserve">framework offers several translational applications.</w:t>
      </w:r>
    </w:p>
    <w:p>
      <w:pPr>
        <w:pStyle w:val="BodyText"/>
      </w:pPr>
      <w:r>
        <w:rPr>
          <w:b/>
          <w:bCs/>
        </w:rPr>
        <w:t xml:space="preserve">Transdiagnostic biomarker.</w:t>
      </w:r>
      <w:r>
        <w:t xml:space="preserve"> </w:t>
      </w:r>
      <w:r>
        <w:t xml:space="preserve">The friction signature profiles (Table 2) could enable a biologically grounded, transdiagnostic classification of executive dysfunction that cuts across traditional categorical diagnoses.</w:t>
      </w:r>
    </w:p>
    <w:p>
      <w:pPr>
        <w:pStyle w:val="BodyText"/>
      </w:pPr>
      <w:r>
        <w:rPr>
          <w:b/>
          <w:bCs/>
        </w:rPr>
        <w:t xml:space="preserve">Passive linguistic monitoring.</w:t>
      </w:r>
      <w:r>
        <w:t xml:space="preserve"> </w:t>
      </w:r>
      <ns3:oMath>
        <ns3:sSub>
          <ns3:e>
            <ns3:r>
              <ns3:t>μ</ns3:t>
            </ns3:r>
          </ns3:e>
          <ns3:sub>
            <ns3:r>
              <ns3:rPr>
                <ns3:nor/>
                <ns3:sty ns3:val="p"/>
              </ns3:rPr>
              <ns3:t>sem</ns3:t>
            </ns3:r>
          </ns3:sub>
        </ns3:sSub>
      </ns3:oMath>
      <w:r>
        <w:t xml:space="preserve"> </w:t>
      </w:r>
      <w:r>
        <w:t xml:space="preserve">can be extracted from clinical interview transcripts, therapy session recordings, or — with appropriate consent and ethical oversight — naturalistic text data. This enables longitudinal</w:t>
      </w:r>
      <w:r>
        <w:t xml:space="preserve"> </w:t>
      </w:r>
      <ns3:oMath>
        <ns3:sSub>
          <ns3:e>
            <ns3:r>
              <ns3:rPr>
                <ns3:sty ns3:val="p"/>
              </ns3:rPr>
              <ns3:t>Ψ</ns3:t>
            </ns3:r>
          </ns3:e>
          <ns3:sub>
            <ns3:r>
              <ns3:t>f</ns3:t>
            </ns3:r>
          </ns3:sub>
        </ns3:sSub>
      </ns3:oMath>
      <w:r>
        <w:t xml:space="preserve"> </w:t>
      </w:r>
      <w:r>
        <w:t xml:space="preserve">tracking without additional testing burden.</w:t>
      </w:r>
    </w:p>
    <w:p>
      <w:pPr>
        <w:pStyle w:val="BodyText"/>
      </w:pPr>
      <w:r>
        <w:rPr>
          <w:b/>
          <w:bCs/>
        </w:rPr>
        <w:t xml:space="preserve">Treatment response prediction.</w:t>
      </w:r>
      <w:r>
        <w:t xml:space="preserve"> </w:t>
      </w:r>
      <w:r>
        <w:t xml:space="preserve">Therapeutic interventions can be modeled as either reducing</w:t>
      </w:r>
      <w:r>
        <w:t xml:space="preserve"> </w:t>
      </w:r>
      <ns3:oMath>
        <ns3:sSub>
          <ns3:e>
            <ns3:r>
              <ns3:rPr>
                <ns3:sty ns3:val="p"/>
              </ns3:rPr>
              <ns3:t>Ψ</ns3:t>
            </ns3:r>
          </ns3:e>
          <ns3:sub>
            <ns3:r>
              <ns3:t>f</ns3:t>
            </ns3:r>
          </ns3:sub>
        </ns3:sSub>
      </ns3:oMath>
      <w:r>
        <w:t xml:space="preserve"> </w:t>
      </w:r>
      <w:r>
        <w:t xml:space="preserve">(pharmacological approaches targeting the friction cost) or increasing</w:t>
      </w:r>
      <w:r>
        <w:t xml:space="preserve"> </w:t>
      </w:r>
      <ns3:oMath>
        <ns3:sSub>
          <ns3:e>
            <ns3:r>
              <ns3:t>P</ns3:t>
            </ns3:r>
          </ns3:e>
          <ns3:sub>
            <ns3:r>
              <ns3:rPr>
                <ns3:nor/>
                <ns3:sty ns3:val="p"/>
              </ns3:rPr>
              <ns3:t>sel</ns3:t>
            </ns3:r>
          </ns3:sub>
        </ns3:sSub>
      </ns3:oMath>
      <w:r>
        <w:t xml:space="preserve"> </w:t>
      </w:r>
      <w:r>
        <w:t xml:space="preserve">(behavioral approaches expanding selection power capacity). The</w:t>
      </w:r>
      <w:r>
        <w:t xml:space="preserve"> </w:t>
      </w:r>
      <ns3:oMath>
        <ns3:sSub>
          <ns3:e>
            <ns3:r>
              <ns3:rPr>
                <ns3:sty ns3:val="p"/>
              </ns3:rPr>
              <ns3:t>Ψ</ns3:t>
            </ns3:r>
          </ns3:e>
          <ns3:sub>
            <ns3:r>
              <ns3:t>f</ns3:t>
            </ns3:r>
          </ns3:sub>
        </ns3:sSub>
      </ns3:oMath>
      <w:r>
        <w:t xml:space="preserve"> </w:t>
      </w:r>
      <w:r>
        <w:t xml:space="preserve">trajectory over treatment could serve as an early indicator of therapeutic response, potentially outperforming symptom-based monitoring.</w:t>
      </w:r>
    </w:p>
    <w:p>
      <w:pPr>
        <w:pStyle w:val="BodyText"/>
      </w:pPr>
      <w:r>
        <w:rPr>
          <w:b/>
          <w:bCs/>
        </w:rPr>
        <w:t xml:space="preserve">Intervention design.</w:t>
      </w:r>
      <w:r>
        <w:t xml:space="preserve"> </w:t>
      </w:r>
      <w:r>
        <w:t xml:space="preserve">The distinction between</w:t>
      </w:r>
      <w:r>
        <w:t xml:space="preserve"> </w:t>
      </w:r>
      <ns3:oMath>
        <ns3:sSub>
          <ns3:e>
            <ns3:r>
              <ns3:rPr>
                <ns3:sty ns3:val="p"/>
              </ns3:rPr>
              <ns3:t>Ψ</ns3:t>
            </ns3:r>
          </ns3:e>
          <ns3:sub>
            <ns3:r>
              <ns3:t>f</ns3:t>
            </ns3:r>
          </ns3:sub>
        </ns3:sSub>
      </ns3:oMath>
      <w:r>
        <w:t xml:space="preserve"> </w:t>
      </w:r>
      <w:r>
        <w:t xml:space="preserve">reduction and</w:t>
      </w:r>
      <w:r>
        <w:t xml:space="preserve"> </w:t>
      </w:r>
      <ns3:oMath>
        <ns3:sSub>
          <ns3:e>
            <ns3:r>
              <ns3:t>P</ns3:t>
            </ns3:r>
          </ns3:e>
          <ns3:sub>
            <ns3:r>
              <ns3:rPr>
                <ns3:nor/>
                <ns3:sty ns3:val="p"/>
              </ns3:rPr>
              <ns3:t>sel</ns3:t>
            </ns3:r>
          </ns3:sub>
        </ns3:sSub>
      </ns3:oMath>
      <w:r>
        <w:t xml:space="preserve"> </w:t>
      </w:r>
      <w:r>
        <w:t xml:space="preserve">expansion suggests that combination therapies — pairing pharmacological</w:t>
      </w:r>
      <w:r>
        <w:t xml:space="preserve"> </w:t>
      </w:r>
      <ns3:oMath>
        <ns3:sSub>
          <ns3:e>
            <ns3:r>
              <ns3:rPr>
                <ns3:sty ns3:val="p"/>
              </ns3:rPr>
              <ns3:t>Ψ</ns3:t>
            </ns3:r>
          </ns3:e>
          <ns3:sub>
            <ns3:r>
              <ns3:t>f</ns3:t>
            </ns3:r>
          </ns3:sub>
        </ns3:sSub>
      </ns3:oMath>
      <w:r>
        <w:t xml:space="preserve"> </w:t>
      </w:r>
      <w:r>
        <w:t xml:space="preserve">reduction with behavioral</w:t>
      </w:r>
      <w:r>
        <w:t xml:space="preserve"> </w:t>
      </w:r>
      <ns3:oMath>
        <ns3:sSub>
          <ns3:e>
            <ns3:r>
              <ns3:t>P</ns3:t>
            </ns3:r>
          </ns3:e>
          <ns3:sub>
            <ns3:r>
              <ns3:rPr>
                <ns3:nor/>
                <ns3:sty ns3:val="p"/>
              </ns3:rPr>
              <ns3:t>sel</ns3:t>
            </ns3:r>
          </ns3:sub>
        </ns3:sSub>
      </ns3:oMath>
      <w:r>
        <w:t xml:space="preserve"> </w:t>
      </w:r>
      <w:r>
        <w:t xml:space="preserve">training — should show synergistic effects quantifiable as:</w:t>
      </w:r>
    </w:p>
    <w:p>
      <w:pPr>
        <w:pStyle w:val="BodyText"/>
      </w:pPr>
      <ns3:oMathPara>
        <ns3:oMathParaPr>
          <ns3:jc ns3:val="center"/>
        </ns3:oMathParaPr>
        <ns3:oMath>
          <ns3:r>
            <ns3:rPr>
              <ns3:sty ns3:val="p"/>
            </ns3:rPr>
            <ns3:t>Δ</ns3:t>
          </ns3:r>
          <ns3:sSub>
            <ns3:e>
              <ns3:r>
                <ns3:t>S</ns3:t>
              </ns3:r>
            </ns3:e>
            <ns3:sub>
              <ns3:r>
                <ns3:rPr>
                  <ns3:nor/>
                  <ns3:sty ns3:val="p"/>
                </ns3:rPr>
                <ns3:t>sync</ns3:t>
              </ns3:r>
            </ns3:sub>
          </ns3:sSub>
          <ns3:r>
            <ns3:rPr>
              <ns3:sty ns3:val="p"/>
            </ns3:rPr>
            <ns3:t>=</ns3:t>
          </ns3:r>
          <ns3:r>
            <ns3:rPr>
              <ns3:sty ns3:val="p"/>
            </ns3:rPr>
            <ns3:t>Δ</ns3:t>
          </ns3:r>
          <ns3:r>
            <ns3:t>d</ns3:t>
          </ns3:r>
          <ns3:r>
            <ns3:rPr>
              <ns3:sty ns3:val="p"/>
            </ns3:rPr>
            <ns3:t>⋅</ns3:t>
          </ns3:r>
          <ns3:r>
            <ns3:rPr>
              <ns3:sty ns3:val="p"/>
            </ns3:rPr>
            <ns3:t>(</ns3:t>
          </ns3:r>
          <ns3:r>
            <ns3:rPr>
              <ns3:sty ns3:val="p"/>
            </ns3:rPr>
            <ns3:t>−</ns3:t>
          </ns3:r>
          <ns3:r>
            <ns3:rPr>
              <ns3:sty ns3:val="p"/>
            </ns3:rPr>
            <ns3:t>Δ</ns3:t>
          </ns3:r>
          <ns3:sSub>
            <ns3:e>
              <ns3:r>
                <ns3:rPr>
                  <ns3:sty ns3:val="p"/>
                </ns3:rPr>
                <ns3:t>Ψ</ns3:t>
              </ns3:r>
            </ns3:e>
            <ns3:sub>
              <ns3:r>
                <ns3:t>f</ns3:t>
              </ns3:r>
            </ns3:sub>
          </ns3:sSub>
          <ns3:r>
            <ns3:rPr>
              <ns3:sty ns3:val="p"/>
            </ns3:rPr>
            <ns3:t>)</ns3:t>
          </ns3:r>
          <ns3:r>
            <ns3:rPr>
              <ns3:sty ns3:val="p"/>
            </ns3:rPr>
            <ns3:t>&gt;</ns3:t>
          </ns3:r>
          <ns3:r>
            <ns3:t>0</ns3:t>
          </ns3:r>
        </ns3:oMath>
      </ns3:oMathPara>
    </w:p>
    <w:p>
      <w:pPr>
        <w:pStyle w:val="FirstParagraph"/>
      </w:pPr>
      <w:r>
        <w:t xml:space="preserve">where a positive synergy metric indicates genuine cross-domain recovery rather than compensation.</w:t>
      </w:r>
    </w:p>
    <w:p>
      <w:r>
        <w:pict>
          <ns1:rect style="width:0;height:1.5pt" ns2:hralign="center" ns2:hrstd="t" ns2:hr="t"/>
        </w:pict>
      </w:r>
    </w:p>
    <w:bookmarkEnd w:id="60"/>
    <w:bookmarkStart w:id="61" w:name="conclusion"/>
    <w:p>
      <w:pPr>
        <w:pStyle w:val="Heading3"/>
      </w:pPr>
      <w:r>
        <w:t xml:space="preserve">6.6 Conclusion</w:t>
      </w:r>
    </w:p>
    <w:p>
      <w:pPr>
        <w:pStyle w:val="FirstParagraph"/>
      </w:pPr>
      <w:r>
        <w:t xml:space="preserve">We have introduced ontological friction (</w:t>
      </w:r>
      <ns3:oMath>
        <ns3:sSub>
          <ns3:e>
            <ns3:r>
              <ns3:rPr>
                <ns3:sty ns3:val="p"/>
              </ns3:rPr>
              <ns3:t>Ψ</ns3:t>
            </ns3:r>
          </ns3:e>
          <ns3:sub>
            <ns3:r>
              <ns3:t>f</ns3:t>
            </ns3:r>
          </ns3:sub>
        </ns3:sSub>
      </ns3:oMath>
      <w:r>
        <w:t xml:space="preserve">) as a formally defined, cross-modally operationalizable construct that transforms an abstract philosophical quantity — the cost of maintaining a selected reality against latent defaults — into a testable framework for cognitive and clinical dynamics. The construct is grounded in four core equations that specify friction accumulation, the hazard function for subjective distress, the selection-budget inequality, and the dynamics of parameter evolution. We have operationalized</w:t>
      </w:r>
      <w:r>
        <w:t xml:space="preserve"> </w:t>
      </w:r>
      <ns3:oMath>
        <ns3:sSub>
          <ns3:e>
            <ns3:r>
              <ns3:rPr>
                <ns3:sty ns3:val="p"/>
              </ns3:rPr>
              <ns3:t>Ψ</ns3:t>
            </ns3:r>
          </ns3:e>
          <ns3:sub>
            <ns3:r>
              <ns3:t>f</ns3:t>
            </ns3:r>
          </ns3:sub>
        </ns3:sSub>
      </ns3:oMath>
      <w:r>
        <w:t xml:space="preserve"> </w:t>
      </w:r>
      <w:r>
        <w:t xml:space="preserve">through four convergent proxy classes — behavioral, physiological, neural, and linguistic — and demonstrated how the knowing–doing gap emerges as bandwidth saturation when friction cost exceeds available selection power.</w:t>
      </w:r>
    </w:p>
    <w:p>
      <w:pPr>
        <w:pStyle w:val="BodyText"/>
      </w:pPr>
      <w:r>
        <w:t xml:space="preserve">The clinical mapping onto major depressive disorder, obsessive-compulsive disorder, and Parkinson’s disease generates disorder-specific, falsifiable predictions (Table 2) that distinguish the</w:t>
      </w:r>
      <w:r>
        <w:t xml:space="preserve"> </w:t>
      </w:r>
      <ns3:oMath>
        <ns3:sSub>
          <ns3:e>
            <ns3:r>
              <ns3:rPr>
                <ns3:sty ns3:val="p"/>
              </ns3:rPr>
              <ns3:t>Ψ</ns3:t>
            </ns3:r>
          </ns3:e>
          <ns3:sub>
            <ns3:r>
              <ns3:t>f</ns3:t>
            </ns3:r>
          </ns3:sub>
        </ns3:sSub>
      </ns3:oMath>
      <w:r>
        <w:t xml:space="preserve"> </w:t>
      </w:r>
      <w:r>
        <w:t xml:space="preserve">account from generic executive dysfunction descriptions. Five pre-registration-ready hypotheses with explicit falsification criteria and a three-phase validation roadmap provide the experimental architecture for systematic testing.</w:t>
      </w:r>
    </w:p>
    <w:p>
      <w:pPr>
        <w:pStyle w:val="BodyText"/>
      </w:pPr>
      <w:r>
        <w:t xml:space="preserve">The knowing–doing gap is not merely a clinical curiosity but a window into the fundamental cost structure of agency. Every act of will — from suppressing a craving to overriding a prejudice to initiating a motor sequence — incurs ontological friction. Understanding this cost, measuring it, and learning to modulate it may prove to be among the most consequential challenges at the intersection of cognitive neuroscience, clinical science, and the philosophy of mind.</w:t>
      </w:r>
    </w:p>
    <w:p>
      <w:r>
        <w:pict>
          <ns1:rect style="width:0;height:1.5pt" ns2:hralign="center" ns2:hrstd="t" ns2:hr="t"/>
        </w:pict>
      </w:r>
    </w:p>
    <w:bookmarkEnd w:id="61"/>
    <w:bookmarkEnd w:id="62"/>
    <w:bookmarkStart w:id="63" w:name="X91f9e8b14c7d06475b6fd18f954a3388ae6e97c"/>
    <w:p>
      <w:pPr>
        <w:pStyle w:val="Heading2"/>
      </w:pPr>
      <w:r>
        <w:t xml:space="preserve">Appendix A. SRT-to-Standard Terminology Mapping</w:t>
      </w:r>
    </w:p>
    <w:p>
      <w:pPr>
        <w:pStyle w:val="FirstParagraph"/>
      </w:pPr>
      <w:r>
        <w:t xml:space="preserve">The core model can be read entirely in standard control/predictive-processing language:</w:t>
      </w:r>
    </w:p>
    <w:p>
      <w:pPr>
        <w:pStyle w:val="Compact"/>
        <w:numPr>
          <w:ilvl w:val="0"/>
          <w:numId w:val="1006"/>
        </w:numPr>
      </w:pPr>
      <ns3:oMath>
        <ns3:sSub>
          <ns3:e>
            <ns3:r>
              <ns3:t>L</ns3:t>
            </ns3:r>
          </ns3:e>
          <ns3:sub>
            <ns3:r>
              <ns3:t>0</ns3:t>
            </ns3:r>
          </ns3:sub>
        </ns3:sSub>
      </ns3:oMath>
      <w:r>
        <w:t xml:space="preserve"> </w:t>
      </w:r>
      <w:r>
        <w:t xml:space="preserve">(SRT latent domain) -&gt; candidate state/policy space.</w:t>
      </w:r>
    </w:p>
    <w:p>
      <w:pPr>
        <w:pStyle w:val="Compact"/>
        <w:numPr>
          <w:ilvl w:val="0"/>
          <w:numId w:val="1006"/>
        </w:numPr>
      </w:pPr>
      <ns3:oMath>
        <ns3:sSub>
          <ns3:e>
            <ns3:r>
              <ns3:t>L</ns3:t>
            </ns3:r>
          </ns3:e>
          <ns3:sub>
            <ns3:r>
              <ns3:t>1</ns3:t>
            </ns3:r>
          </ns3:sub>
        </ns3:sSub>
      </ns3:oMath>
      <w:r>
        <w:t xml:space="preserve"> </w:t>
      </w:r>
      <w:r>
        <w:t xml:space="preserve">(SRT manifest domain) -&gt; currently executed active state.</w:t>
      </w:r>
    </w:p>
    <w:p>
      <w:pPr>
        <w:pStyle w:val="Compact"/>
        <w:numPr>
          <w:ilvl w:val="0"/>
          <w:numId w:val="1006"/>
        </w:numPr>
      </w:pPr>
      <ns3:oMath>
        <ns3:sSub>
          <ns3:e>
            <ns3:r>
              <ns3:t>L</ns3:t>
            </ns3:r>
          </ns3:e>
          <ns3:sub>
            <ns3:r>
              <ns3:t>2</ns3:t>
            </ns3:r>
          </ns3:sub>
        </ns3:sSub>
      </ns3:oMath>
      <w:r>
        <w:t xml:space="preserve"> </w:t>
      </w:r>
      <w:r>
        <w:t xml:space="preserve">(SRT convergence domain) -&gt; prior/hyperprior-like slow constraints.</w:t>
      </w:r>
    </w:p>
    <w:p>
      <w:pPr>
        <w:pStyle w:val="Compact"/>
        <w:numPr>
          <w:ilvl w:val="0"/>
          <w:numId w:val="1006"/>
        </w:numPr>
      </w:pPr>
      <ns3:oMath>
        <ns3:sSub>
          <ns3:e>
            <ns3:acc>
              <ns3:accPr>
                <ns3:chr ns3:val="̂"/>
              </ns3:accPr>
              <ns3:e>
                <ns3:r>
                  <ns3:t>G</ns3:t>
                </ns3:r>
              </ns3:e>
            </ns3:acc>
          </ns3:e>
          <ns3:sub>
            <ns3:r>
              <ns3:t>θ</ns3:t>
            </ns3:r>
          </ns3:sub>
        </ns3:sSub>
      </ns3:oMath>
      <w:r>
        <w:t xml:space="preserve"> </w:t>
      </w:r>
      <w:r>
        <w:t xml:space="preserve">-&gt; resource-bounded selection operator/policy realization map.</w:t>
      </w:r>
    </w:p>
    <w:p>
      <w:pPr>
        <w:pStyle w:val="Compact"/>
        <w:numPr>
          <w:ilvl w:val="0"/>
          <w:numId w:val="1006"/>
        </w:numPr>
      </w:pPr>
      <ns3:oMath>
        <ns3:sSub>
          <ns3:e>
            <ns3:r>
              <ns3:rPr>
                <ns3:sty ns3:val="p"/>
              </ns3:rPr>
              <ns3:t>Ψ</ns3:t>
            </ns3:r>
          </ns3:e>
          <ns3:sub>
            <ns3:r>
              <ns3:t>f</ns3:t>
            </ns3:r>
          </ns3:sub>
        </ns3:sSub>
      </ns3:oMath>
      <w:r>
        <w:t xml:space="preserve"> </w:t>
      </w:r>
      <w:r>
        <w:t xml:space="preserve">-&gt; control cost (latent, cross-modally estimated).</w:t>
      </w:r>
    </w:p>
    <w:p>
      <w:pPr>
        <w:pStyle w:val="Compact"/>
        <w:numPr>
          <w:ilvl w:val="0"/>
          <w:numId w:val="1006"/>
        </w:numPr>
      </w:pPr>
      <ns3:oMath>
        <ns3:sSub>
          <ns3:e>
            <ns3:r>
              <ns3:t>P</ns3:t>
            </ns3:r>
          </ns3:e>
          <ns3:sub>
            <ns3:r>
              <ns3:rPr>
                <ns3:nor/>
                <ns3:sty ns3:val="p"/>
              </ns3:rPr>
              <ns3:t>sel</ns3:t>
            </ns3:r>
          </ns3:sub>
        </ns3:sSub>
      </ns3:oMath>
      <w:r>
        <w:t xml:space="preserve"> </w:t>
      </w:r>
      <w:r>
        <w:t xml:space="preserve">-&gt; available control budget (residual selection capacity).</w:t>
      </w:r>
    </w:p>
    <w:p>
      <w:pPr>
        <w:pStyle w:val="Compact"/>
        <w:numPr>
          <w:ilvl w:val="0"/>
          <w:numId w:val="1006"/>
        </w:numPr>
      </w:pPr>
      <ns3:oMath>
        <ns3:sSub>
          <ns3:e>
            <ns3:r>
              <ns3:t>S</ns3:t>
            </ns3:r>
          </ns3:e>
          <ns3:sub>
            <ns3:r>
              <ns3:rPr>
                <ns3:nor/>
                <ns3:sty ns3:val="p"/>
              </ns3:rPr>
              <ns3:t>noise</ns3:t>
            </ns3:r>
          </ns3:sub>
        </ns3:sSub>
      </ns3:oMath>
      <w:r>
        <w:t xml:space="preserve"> </w:t>
      </w:r>
      <w:r>
        <w:t xml:space="preserve">-&gt; exogenous/environmental uncertainty load.</w:t>
      </w:r>
    </w:p>
    <w:p>
      <w:pPr>
        <w:pStyle w:val="FirstParagraph"/>
      </w:pPr>
      <w:r>
        <w:t xml:space="preserve">This appendix is intended to keep the main text maximally accessible to readers who prefer established computational-neuroscience terminology.</w:t>
      </w:r>
    </w:p>
    <w:p>
      <w:r>
        <w:pict>
          <ns1:rect style="width:0;height:1.5pt" ns2:hralign="center" ns2:hrstd="t" ns2:hr="t"/>
        </w:pict>
      </w:r>
    </w:p>
    <w:bookmarkEnd w:id="63"/>
    <w:bookmarkStart w:id="64" w:name="conflict-of-interest-statement"/>
    <w:p>
      <w:pPr>
        <w:pStyle w:val="Heading2"/>
      </w:pPr>
      <w:r>
        <w:t xml:space="preserve">Conflict of Interest Statement</w:t>
      </w:r>
    </w:p>
    <w:p>
      <w:pPr>
        <w:pStyle w:val="FirstParagraph"/>
      </w:pPr>
      <w:r>
        <w:t xml:space="preserve">The author declares that the research was conducted in the absence of any commercial or financial relationships that could be construed as a potential conflict of interest.</w:t>
      </w:r>
    </w:p>
    <w:bookmarkEnd w:id="64"/>
    <w:bookmarkStart w:id="65" w:name="author-contributions"/>
    <w:p>
      <w:pPr>
        <w:pStyle w:val="Heading2"/>
      </w:pPr>
      <w:r>
        <w:t xml:space="preserve">Author Contributions</w:t>
      </w:r>
    </w:p>
    <w:p>
      <w:pPr>
        <w:pStyle w:val="FirstParagraph"/>
      </w:pPr>
      <w:r>
        <w:t xml:space="preserve">The author conceived the theoretical framework, developed the formal model, designed the proposed experimental program, prepared the figures and tables, and wrote the manuscript.</w:t>
      </w:r>
    </w:p>
    <w:bookmarkEnd w:id="65"/>
    <w:bookmarkStart w:id="66" w:name="funding"/>
    <w:p>
      <w:pPr>
        <w:pStyle w:val="Heading2"/>
      </w:pPr>
      <w:r>
        <w:t xml:space="preserve">Funding</w:t>
      </w:r>
    </w:p>
    <w:p>
      <w:pPr>
        <w:pStyle w:val="FirstParagraph"/>
      </w:pPr>
      <w:r>
        <w:t xml:space="preserve">This work received no external funding.</w:t>
      </w:r>
    </w:p>
    <w:bookmarkEnd w:id="66"/>
    <w:bookmarkStart w:id="67" w:name="acknowledgments"/>
    <w:p>
      <w:pPr>
        <w:pStyle w:val="Heading2"/>
      </w:pPr>
      <w:r>
        <w:t xml:space="preserve">Acknowledgments</w:t>
      </w:r>
    </w:p>
    <w:p>
      <w:pPr>
        <w:pStyle w:val="FirstParagraph"/>
      </w:pPr>
      <w:r>
        <w:t xml:space="preserve">The author thanks colleagues in the SRT research workflow for critical discussion and manuscript feedback. The author used multiple generative AI systems (including Anthropic Claude and OpenAI GPT-5 via Codex) for language refinement and structural editing. All AI-assisted content was critically reviewed, revised, and verified by the author, who retains full responsibility for the manuscript.</w:t>
      </w:r>
    </w:p>
    <w:bookmarkEnd w:id="67"/>
    <w:bookmarkStart w:id="68" w:name="generative-ai-statement"/>
    <w:p>
      <w:pPr>
        <w:pStyle w:val="Heading2"/>
      </w:pPr>
      <w:r>
        <w:t xml:space="preserve">Generative AI Statement</w:t>
      </w:r>
    </w:p>
    <w:p>
      <w:pPr>
        <w:pStyle w:val="FirstParagraph"/>
      </w:pPr>
      <w:r>
        <w:t xml:space="preserve">The author declares that generative AI was used only for drafting and language-structure optimization during manuscript preparation (including Anthropic Claude and OpenAI GPT-5 via Codex). Generative AI was not used for data generation, statistical analysis, or unverified citation insertion. Final factual accuracy, citation integrity, and scientific claims were checked by the author.</w:t>
      </w:r>
    </w:p>
    <w:bookmarkEnd w:id="68"/>
    <w:bookmarkStart w:id="69" w:name="data-availability-statement"/>
    <w:p>
      <w:pPr>
        <w:pStyle w:val="Heading2"/>
      </w:pPr>
      <w:r>
        <w:t xml:space="preserve">Data Availability Statement</w:t>
      </w:r>
    </w:p>
    <w:p>
      <w:pPr>
        <w:pStyle w:val="FirstParagraph"/>
      </w:pPr>
      <w:r>
        <w:t xml:space="preserve">No empirical datasets were generated or analyzed for this theoretical manuscript. All equations, hypotheses, and analysis plans are fully reported in the main text. Upon empirical execution, the author will release the</w:t>
      </w:r>
      <w:r>
        <w:t xml:space="preserve"> </w:t>
      </w:r>
      <ns3:oMath>
        <ns3:sSub>
          <ns3:e>
            <ns3:r>
              <ns3:t>μ</ns3:t>
            </ns3:r>
          </ns3:e>
          <ns3:sub>
            <ns3:r>
              <ns3:rPr>
                <ns3:nor/>
                <ns3:sty ns3:val="p"/>
              </ns3:rPr>
              <ns3:t>sem</ns3:t>
            </ns3:r>
          </ns3:sub>
        </ns3:sSub>
      </ns3:oMath>
      <w:r>
        <w:t xml:space="preserve"> </w:t>
      </w:r>
      <w:r>
        <w:t xml:space="preserve">dictionary specification, analysis code, and pre-registered scripts to support reproducibility.</w:t>
      </w:r>
    </w:p>
    <w:bookmarkEnd w:id="69"/>
    <w:bookmarkStart w:id="70" w:name="ethics-statement"/>
    <w:p>
      <w:pPr>
        <w:pStyle w:val="Heading2"/>
      </w:pPr>
      <w:r>
        <w:t xml:space="preserve">Ethics Statement</w:t>
      </w:r>
    </w:p>
    <w:p>
      <w:pPr>
        <w:pStyle w:val="FirstParagraph"/>
      </w:pPr>
      <w:r>
        <w:t xml:space="preserve">No human or animal participants were involved in this theoretical work; ethics approval and informed consent were therefore not required.</w:t>
      </w:r>
    </w:p>
    <w:bookmarkEnd w:id="70"/>
    <w:bookmarkStart w:id="71" w:name="abbreviations"/>
    <w:p>
      <w:pPr>
        <w:pStyle w:val="Heading2"/>
      </w:pPr>
      <w:r>
        <w:t xml:space="preserve">Abbreviations</w:t>
      </w:r>
    </w:p>
    <w:p>
      <w:pPr>
        <w:pStyle w:val="FirstParagraph"/>
      </w:pPr>
      <w:r>
        <w:t xml:space="preserve">SRT, Selective Reality Theory; FEP, Free Energy Principle; IIT, Integrated Information Theory; MDD, major depressive disorder; OCD, obsessive-compulsive disorder; PD, Parkinson’s disease; HRV, heart rate variability; SCR, skin conductance response; ROS, reactive oxygen species; PCI, perturbational complexity index; WCST, Wisconsin Card Sorting Test; SEM, structural equation modeling; CFA, confirmatory factor analysis.</w:t>
      </w:r>
    </w:p>
    <w:p>
      <w:r>
        <w:pict>
          <ns1:rect style="width:0;height:1.5pt" ns2:hralign="center" ns2:hrstd="t" ns2:hr="t"/>
        </w:pict>
      </w:r>
    </w:p>
    <w:bookmarkEnd w:id="71"/>
    <w:bookmarkStart w:id="72" w:name="references"/>
    <w:p>
      <w:pPr>
        <w:pStyle w:val="Heading2"/>
      </w:pPr>
      <w:r>
        <w:t xml:space="preserve">References</w:t>
      </w:r>
    </w:p>
    <w:p>
      <w:pPr>
        <w:pStyle w:val="FirstParagraph"/>
      </w:pPr>
      <w:r>
        <w:t xml:space="preserve">Adam, E. K., Quinn, M. E., Tavernier, R., McQuillan, M. T., Dahlke, K. A., and Gilbert, K. E. (2017). Diurnal cortisol slopes and mental and physical health outcomes: A systematic review and meta-analysis.</w:t>
      </w:r>
      <w:r>
        <w:t xml:space="preserve"> </w:t>
      </w:r>
      <w:r>
        <w:rPr>
          <w:i/>
          <w:iCs/>
        </w:rPr>
        <w:t xml:space="preserve">Psychoneuroendocrinology</w:t>
      </w:r>
      <w:r>
        <w:t xml:space="preserve">, 83, 25–41.</w:t>
      </w:r>
    </w:p>
    <w:p>
      <w:pPr>
        <w:pStyle w:val="BodyText"/>
      </w:pPr>
      <w:r>
        <w:t xml:space="preserve">Alloy, L. B., and Abramson, L. Y. (1979). Judgment of contingency in depressed and nondepressed students: Sadder but wiser?</w:t>
      </w:r>
      <w:r>
        <w:t xml:space="preserve"> </w:t>
      </w:r>
      <w:r>
        <w:rPr>
          <w:i/>
          <w:iCs/>
        </w:rPr>
        <w:t xml:space="preserve">Journal of Experimental Psychology: General</w:t>
      </w:r>
      <w:r>
        <w:t xml:space="preserve">, 108(4), 441–485.</w:t>
      </w:r>
    </w:p>
    <w:p>
      <w:pPr>
        <w:pStyle w:val="BodyText"/>
      </w:pPr>
      <w:r>
        <w:t xml:space="preserve">Amari, S. (2016).</w:t>
      </w:r>
      <w:r>
        <w:t xml:space="preserve"> </w:t>
      </w:r>
      <w:r>
        <w:rPr>
          <w:i/>
          <w:iCs/>
        </w:rPr>
        <w:t xml:space="preserve">Information Geometry and Its Applications</w:t>
      </w:r>
      <w:r>
        <w:t xml:space="preserve">. Springer.</w:t>
      </w:r>
    </w:p>
    <w:p>
      <w:pPr>
        <w:pStyle w:val="BodyText"/>
      </w:pPr>
      <w:r>
        <w:t xml:space="preserve">Baumeister, R. F., Bratslavsky, E., Muraven, M., and Tice, D. M. (1998). Ego depletion: Is the active self a limited resource?</w:t>
      </w:r>
      <w:r>
        <w:t xml:space="preserve"> </w:t>
      </w:r>
      <w:r>
        <w:rPr>
          <w:i/>
          <w:iCs/>
        </w:rPr>
        <w:t xml:space="preserve">Journal of Personality and Social Psychology</w:t>
      </w:r>
      <w:r>
        <w:t xml:space="preserve">, 74(5), 1252–1265.</w:t>
      </w:r>
    </w:p>
    <w:p>
      <w:pPr>
        <w:pStyle w:val="BodyText"/>
      </w:pPr>
      <w:r>
        <w:t xml:space="preserve">Bechara, A., Damasio, A. R., Damasio, H., and Anderson, S. W. (1994). Insensitivity to future consequences following damage to human prefrontal cortex.</w:t>
      </w:r>
      <w:r>
        <w:t xml:space="preserve"> </w:t>
      </w:r>
      <w:r>
        <w:rPr>
          <w:i/>
          <w:iCs/>
        </w:rPr>
        <w:t xml:space="preserve">Cognition</w:t>
      </w:r>
      <w:r>
        <w:t xml:space="preserve">, 50(1-3), 7–15.</w:t>
      </w:r>
    </w:p>
    <w:p>
      <w:pPr>
        <w:pStyle w:val="BodyText"/>
      </w:pPr>
      <w:r>
        <w:t xml:space="preserve">Berg, E. A. (1948). A simple objective technique for measuring flexibility in thinking.</w:t>
      </w:r>
      <w:r>
        <w:t xml:space="preserve"> </w:t>
      </w:r>
      <w:r>
        <w:rPr>
          <w:i/>
          <w:iCs/>
        </w:rPr>
        <w:t xml:space="preserve">Journal of General Psychology</w:t>
      </w:r>
      <w:r>
        <w:t xml:space="preserve">, 39(1), 15–22.</w:t>
      </w:r>
    </w:p>
    <w:p>
      <w:pPr>
        <w:pStyle w:val="BodyText"/>
      </w:pPr>
      <w:r>
        <w:t xml:space="preserve">Bickel, W. K., Jarmolowicz, D. P., Mueller, E. T., Koffarnus, M. N., and Gatchalian, K. M. (2012). Excessive discounting of delayed reinforcers as a trans-disease process contributing to addiction and other disease-related vulnerabilities: Emerging evidence.</w:t>
      </w:r>
      <w:r>
        <w:t xml:space="preserve"> </w:t>
      </w:r>
      <w:r>
        <w:rPr>
          <w:i/>
          <w:iCs/>
        </w:rPr>
        <w:t xml:space="preserve">Pharmacology &amp; Therapeutics</w:t>
      </w:r>
      <w:r>
        <w:t xml:space="preserve">, 134(3), 287–297.</w:t>
      </w:r>
    </w:p>
    <w:p>
      <w:pPr>
        <w:pStyle w:val="BodyText"/>
      </w:pPr>
      <w:r>
        <w:t xml:space="preserve">Brown, J. W., Reynolds, J. R., and Braver, T. S. (2007). A computational model of fractionated conflict-control mechanisms in task-switching.</w:t>
      </w:r>
      <w:r>
        <w:t xml:space="preserve"> </w:t>
      </w:r>
      <w:r>
        <w:rPr>
          <w:i/>
          <w:iCs/>
        </w:rPr>
        <w:t xml:space="preserve">Cognitive Psychology</w:t>
      </w:r>
      <w:r>
        <w:t xml:space="preserve">, 55(1), 37–85.</w:t>
      </w:r>
    </w:p>
    <w:p>
      <w:pPr>
        <w:pStyle w:val="BodyText"/>
      </w:pPr>
      <w:r>
        <w:t xml:space="preserve">Casali, A. G., Gosseries, O., Rosanova, M., Boly, M., Sarasso, S., Casarotto, S., et al. (2013). A theoretically based index of consciousness independent of sensory processing and behavior.</w:t>
      </w:r>
      <w:r>
        <w:t xml:space="preserve"> </w:t>
      </w:r>
      <w:r>
        <w:rPr>
          <w:i/>
          <w:iCs/>
        </w:rPr>
        <w:t xml:space="preserve">Science Translational Medicine</w:t>
      </w:r>
      <w:r>
        <w:t xml:space="preserve">, 5(198), 198ra105.</w:t>
      </w:r>
    </w:p>
    <w:p>
      <w:pPr>
        <w:pStyle w:val="BodyText"/>
      </w:pPr>
      <w:r>
        <w:t xml:space="preserve">Chalmers, D. J. (1995). Facing up to the problem of consciousness.</w:t>
      </w:r>
      <w:r>
        <w:t xml:space="preserve"> </w:t>
      </w:r>
      <w:r>
        <w:rPr>
          <w:i/>
          <w:iCs/>
        </w:rPr>
        <w:t xml:space="preserve">Journal of Consciousness Studies</w:t>
      </w:r>
      <w:r>
        <w:t xml:space="preserve">, 2(3), 200–219.</w:t>
      </w:r>
    </w:p>
    <w:p>
      <w:pPr>
        <w:pStyle w:val="BodyText"/>
      </w:pPr>
      <w:r>
        <w:t xml:space="preserve">Diamond, A. (2013). Executive functions.</w:t>
      </w:r>
      <w:r>
        <w:t xml:space="preserve"> </w:t>
      </w:r>
      <w:r>
        <w:rPr>
          <w:i/>
          <w:iCs/>
        </w:rPr>
        <w:t xml:space="preserve">Annual Review of Psychology</w:t>
      </w:r>
      <w:r>
        <w:t xml:space="preserve">, 64, 135–168.</w:t>
      </w:r>
    </w:p>
    <w:p>
      <w:pPr>
        <w:pStyle w:val="BodyText"/>
      </w:pPr>
      <w:r>
        <w:t xml:space="preserve">Eichstaedt, J. C., Smith, R. J., Merchant, R. M., Ungar, L. H., Crutchley, P., Preotiuc-Pietro, D., et al. (2018). Facebook language predicts depression in medical records.</w:t>
      </w:r>
      <w:r>
        <w:t xml:space="preserve"> </w:t>
      </w:r>
      <w:r>
        <w:rPr>
          <w:i/>
          <w:iCs/>
        </w:rPr>
        <w:t xml:space="preserve">Proceedings of the National Academy of Sciences</w:t>
      </w:r>
      <w:r>
        <w:t xml:space="preserve">, 115(44), 11203–11208.</w:t>
      </w:r>
    </w:p>
    <w:p>
      <w:pPr>
        <w:pStyle w:val="BodyText"/>
      </w:pPr>
      <w:r>
        <w:t xml:space="preserve">Frank, M. J., Seeberger, L. C., and O’Reilly, R. C. (2004). By carrot or by stick: Cognitive reinforcement learning in parkinsonism.</w:t>
      </w:r>
      <w:r>
        <w:t xml:space="preserve"> </w:t>
      </w:r>
      <w:r>
        <w:rPr>
          <w:i/>
          <w:iCs/>
        </w:rPr>
        <w:t xml:space="preserve">Science</w:t>
      </w:r>
      <w:r>
        <w:t xml:space="preserve">, 306(5703), 1940–1943.</w:t>
      </w:r>
    </w:p>
    <w:p>
      <w:pPr>
        <w:pStyle w:val="BodyText"/>
      </w:pPr>
      <w:r>
        <w:t xml:space="preserve">Friston, K. (2010). The free-energy principle: A unified brain theory?</w:t>
      </w:r>
      <w:r>
        <w:t xml:space="preserve"> </w:t>
      </w:r>
      <w:r>
        <w:rPr>
          <w:i/>
          <w:iCs/>
        </w:rPr>
        <w:t xml:space="preserve">Nature Reviews Neuroscience</w:t>
      </w:r>
      <w:r>
        <w:t xml:space="preserve">, 11(2), 127–138.</w:t>
      </w:r>
    </w:p>
    <w:p>
      <w:pPr>
        <w:pStyle w:val="BodyText"/>
      </w:pPr>
      <w:r>
        <w:t xml:space="preserve">Gaab, J., Rohleder, N., Nater, U. M., and Ehlert, U. (2005). Psychological determinants of the cortisol stress response: The role of anticipatory cognitive appraisal.</w:t>
      </w:r>
      <w:r>
        <w:t xml:space="preserve"> </w:t>
      </w:r>
      <w:r>
        <w:rPr>
          <w:i/>
          <w:iCs/>
        </w:rPr>
        <w:t xml:space="preserve">Psychoneuroendocrinology</w:t>
      </w:r>
      <w:r>
        <w:t xml:space="preserve">, 30(6), 599–610.</w:t>
      </w:r>
    </w:p>
    <w:p>
      <w:pPr>
        <w:pStyle w:val="BodyText"/>
      </w:pPr>
      <w:r>
        <w:t xml:space="preserve">Hagger, M. S., Chatzisarantis, N. L. D., Alberts, H., Anggono, C. O., Batailler, C., Birt, A. R., et al. (2016). A multilab preregistered replication of the ego-depletion effect.</w:t>
      </w:r>
      <w:r>
        <w:t xml:space="preserve"> </w:t>
      </w:r>
      <w:r>
        <w:rPr>
          <w:i/>
          <w:iCs/>
        </w:rPr>
        <w:t xml:space="preserve">Perspectives on Psychological Science</w:t>
      </w:r>
      <w:r>
        <w:t xml:space="preserve">, 11(4), 546–573.</w:t>
      </w:r>
    </w:p>
    <w:p>
      <w:pPr>
        <w:pStyle w:val="BodyText"/>
      </w:pPr>
      <w:r>
        <w:t xml:space="preserve">Huys, Q. J. M., Maia, T. V., and Frank, M. J. (2016). Computational psychiatry as a bridge from neuroscience to clinical applications.</w:t>
      </w:r>
      <w:r>
        <w:t xml:space="preserve"> </w:t>
      </w:r>
      <w:r>
        <w:rPr>
          <w:i/>
          <w:iCs/>
        </w:rPr>
        <w:t xml:space="preserve">Nature Neuroscience</w:t>
      </w:r>
      <w:r>
        <w:t xml:space="preserve">, 19(3), 404–413.</w:t>
      </w:r>
    </w:p>
    <w:p>
      <w:pPr>
        <w:pStyle w:val="BodyText"/>
      </w:pPr>
      <w:r>
        <w:t xml:space="preserve">Kiesel, A., Steinhauser, M., Wendt, M., Falkenstein, M., Jost, K., Philipp, A. M., et al. (2010). Control and interference in task switching — A review.</w:t>
      </w:r>
      <w:r>
        <w:t xml:space="preserve"> </w:t>
      </w:r>
      <w:r>
        <w:rPr>
          <w:i/>
          <w:iCs/>
        </w:rPr>
        <w:t xml:space="preserve">Psychological Bulletin</w:t>
      </w:r>
      <w:r>
        <w:t xml:space="preserve">, 136(5), 849–874.</w:t>
      </w:r>
    </w:p>
    <w:p>
      <w:pPr>
        <w:pStyle w:val="BodyText"/>
      </w:pPr>
      <w:r>
        <w:t xml:space="preserve">Kroenke, K., Spitzer, R. L., and Williams, J. B. W. (2001). The PHQ-9: Validity of a brief depression severity measure.</w:t>
      </w:r>
      <w:r>
        <w:t xml:space="preserve"> </w:t>
      </w:r>
      <w:r>
        <w:rPr>
          <w:i/>
          <w:iCs/>
        </w:rPr>
        <w:t xml:space="preserve">Journal of General Internal Medicine</w:t>
      </w:r>
      <w:r>
        <w:t xml:space="preserve">, 16(9), 606–613.</w:t>
      </w:r>
    </w:p>
    <w:p>
      <w:pPr>
        <w:pStyle w:val="BodyText"/>
      </w:pPr>
      <w:r>
        <w:t xml:space="preserve">Lisman, J. E., and Idiart, M. A. P. (1995). Storage of 7 ± 2 short-term memories in oscillatory subcycles.</w:t>
      </w:r>
      <w:r>
        <w:t xml:space="preserve"> </w:t>
      </w:r>
      <w:r>
        <w:rPr>
          <w:i/>
          <w:iCs/>
        </w:rPr>
        <w:t xml:space="preserve">Science</w:t>
      </w:r>
      <w:r>
        <w:t xml:space="preserve">, 267(5203), 1512–1515.</w:t>
      </w:r>
    </w:p>
    <w:p>
      <w:pPr>
        <w:pStyle w:val="BodyText"/>
      </w:pPr>
      <w:r>
        <w:t xml:space="preserve">Lundqvist, M., Herman, P., and Lansner, A. (2011). Theta and gamma power increases and alpha/beta power decreases with memory load in an attractor network model.</w:t>
      </w:r>
      <w:r>
        <w:t xml:space="preserve"> </w:t>
      </w:r>
      <w:r>
        <w:rPr>
          <w:i/>
          <w:iCs/>
        </w:rPr>
        <w:t xml:space="preserve">Journal of Cognitive Neuroscience</w:t>
      </w:r>
      <w:r>
        <w:t xml:space="preserve">, 23(10), 3008–3020.</w:t>
      </w:r>
    </w:p>
    <w:p>
      <w:pPr>
        <w:pStyle w:val="BodyText"/>
      </w:pPr>
      <w:r>
        <w:t xml:space="preserve">Maes, M., Galecki, P., Chang, Y. S., and Berk, M. (2011). A review on the oxidative and nitrosative stress (O&amp;NS) pathways in major depression and their possible contribution to the (neuro)degenerative processes in that illness.</w:t>
      </w:r>
      <w:r>
        <w:t xml:space="preserve"> </w:t>
      </w:r>
      <w:r>
        <w:rPr>
          <w:i/>
          <w:iCs/>
        </w:rPr>
        <w:t xml:space="preserve">Progress in Neuro-Psychopharmacology and Biological Psychiatry</w:t>
      </w:r>
      <w:r>
        <w:t xml:space="preserve">, 35(3), 676–692.</w:t>
      </w:r>
    </w:p>
    <w:p>
      <w:pPr>
        <w:pStyle w:val="BodyText"/>
      </w:pPr>
      <w:r>
        <w:t xml:space="preserve">McEwen, B. S. (1998). Stress, adaptation, and disease: Allostasis and allostatic load.</w:t>
      </w:r>
      <w:r>
        <w:t xml:space="preserve"> </w:t>
      </w:r>
      <w:r>
        <w:rPr>
          <w:i/>
          <w:iCs/>
        </w:rPr>
        <w:t xml:space="preserve">Annals of the New York Academy of Sciences</w:t>
      </w:r>
      <w:r>
        <w:t xml:space="preserve">, 840(1), 33–44.</w:t>
      </w:r>
    </w:p>
    <w:p>
      <w:pPr>
        <w:pStyle w:val="BodyText"/>
      </w:pPr>
      <w:r>
        <w:t xml:space="preserve">McEwen, B. S., and Stellar, E. (1993). Stress and the individual: Mechanisms leading to disease.</w:t>
      </w:r>
      <w:r>
        <w:t xml:space="preserve"> </w:t>
      </w:r>
      <w:r>
        <w:rPr>
          <w:i/>
          <w:iCs/>
        </w:rPr>
        <w:t xml:space="preserve">Archives of Internal Medicine</w:t>
      </w:r>
      <w:r>
        <w:t xml:space="preserve">, 153(18), 2093–2101.</w:t>
      </w:r>
    </w:p>
    <w:p>
      <w:pPr>
        <w:pStyle w:val="BodyText"/>
      </w:pPr>
      <w:r>
        <w:t xml:space="preserve">Miller, A. H., and Raison, C. L. (2016). The role of inflammation in depression: From evolutionary imperative to modern treatment target.</w:t>
      </w:r>
      <w:r>
        <w:t xml:space="preserve"> </w:t>
      </w:r>
      <w:r>
        <w:rPr>
          <w:i/>
          <w:iCs/>
        </w:rPr>
        <w:t xml:space="preserve">Nature Reviews Immunology</w:t>
      </w:r>
      <w:r>
        <w:t xml:space="preserve">, 16(1), 22–34.</w:t>
      </w:r>
    </w:p>
    <w:p>
      <w:pPr>
        <w:pStyle w:val="BodyText"/>
      </w:pPr>
      <w:r>
        <w:t xml:space="preserve">Miller, E. K., and Cohen, J. D. (2001). An integrative theory of prefrontal cortex function.</w:t>
      </w:r>
      <w:r>
        <w:t xml:space="preserve"> </w:t>
      </w:r>
      <w:r>
        <w:rPr>
          <w:i/>
          <w:iCs/>
        </w:rPr>
        <w:t xml:space="preserve">Annual Review of Neuroscience</w:t>
      </w:r>
      <w:r>
        <w:t xml:space="preserve">, 24(1), 167–202.</w:t>
      </w:r>
    </w:p>
    <w:p>
      <w:pPr>
        <w:pStyle w:val="BodyText"/>
      </w:pPr>
      <w:r>
        <w:t xml:space="preserve">Miyake, A., Friedman, N. P., Emerson, M. J., Witzki, A. H., Howerter, A., and Wager, T. D. (2000). The unity and diversity of executive functions and their contributions to complex</w:t>
      </w:r>
      <w:r>
        <w:t xml:space="preserve"> </w:t>
      </w:r>
      <w:r>
        <w:t xml:space="preserve">“frontal lobe”</w:t>
      </w:r>
      <w:r>
        <w:t xml:space="preserve"> </w:t>
      </w:r>
      <w:r>
        <w:t xml:space="preserve">tasks: A latent variable analysis.</w:t>
      </w:r>
      <w:r>
        <w:t xml:space="preserve"> </w:t>
      </w:r>
      <w:r>
        <w:rPr>
          <w:i/>
          <w:iCs/>
        </w:rPr>
        <w:t xml:space="preserve">Cognitive Psychology</w:t>
      </w:r>
      <w:r>
        <w:t xml:space="preserve">, 41(1), 49–100.</w:t>
      </w:r>
    </w:p>
    <w:p>
      <w:pPr>
        <w:pStyle w:val="BodyText"/>
      </w:pPr>
      <w:r>
        <w:t xml:space="preserve">Monsell, S. (2003). Task switching.</w:t>
      </w:r>
      <w:r>
        <w:t xml:space="preserve"> </w:t>
      </w:r>
      <w:r>
        <w:rPr>
          <w:i/>
          <w:iCs/>
        </w:rPr>
        <w:t xml:space="preserve">Trends in Cognitive Sciences</w:t>
      </w:r>
      <w:r>
        <w:t xml:space="preserve">, 7(3), 134–140.</w:t>
      </w:r>
    </w:p>
    <w:p>
      <w:pPr>
        <w:pStyle w:val="BodyText"/>
      </w:pPr>
      <w:r>
        <w:t xml:space="preserve">Palmer, F. R. (2001).</w:t>
      </w:r>
      <w:r>
        <w:t xml:space="preserve"> </w:t>
      </w:r>
      <w:r>
        <w:rPr>
          <w:i/>
          <w:iCs/>
        </w:rPr>
        <w:t xml:space="preserve">Mood and Modality</w:t>
      </w:r>
      <w:r>
        <w:t xml:space="preserve"> </w:t>
      </w:r>
      <w:r>
        <w:t xml:space="preserve">(2nd ed.). Cambridge University Press.</w:t>
      </w:r>
    </w:p>
    <w:p>
      <w:pPr>
        <w:pStyle w:val="BodyText"/>
      </w:pPr>
      <w:r>
        <w:t xml:space="preserve">Rao, R. P. N., and Ballard, D. H. (1999). Predictive coding in the visual cortex: A functional interpretation of some extra-classical receptive-field effects.</w:t>
      </w:r>
      <w:r>
        <w:t xml:space="preserve"> </w:t>
      </w:r>
      <w:r>
        <w:rPr>
          <w:i/>
          <w:iCs/>
        </w:rPr>
        <w:t xml:space="preserve">Nature Neuroscience</w:t>
      </w:r>
      <w:r>
        <w:t xml:space="preserve">, 2(1), 79–87.</w:t>
      </w:r>
    </w:p>
    <w:p>
      <w:pPr>
        <w:pStyle w:val="BodyText"/>
      </w:pPr>
      <w:r>
        <w:t xml:space="preserve">Rude, S., Gortner, E.-M., and Pennebaker, J. (2004). Language use of depressed and depression-vulnerable college students.</w:t>
      </w:r>
      <w:r>
        <w:t xml:space="preserve"> </w:t>
      </w:r>
      <w:r>
        <w:rPr>
          <w:i/>
          <w:iCs/>
        </w:rPr>
        <w:t xml:space="preserve">Cognition and Emotion</w:t>
      </w:r>
      <w:r>
        <w:t xml:space="preserve">, 18(8), 1121–1133.</w:t>
      </w:r>
    </w:p>
    <w:p>
      <w:pPr>
        <w:pStyle w:val="BodyText"/>
      </w:pPr>
      <w:r>
        <w:t xml:space="preserve">Redgrave, P., Rodriguez, M., Smith, Y., Rodriguez-Oroz, M. C., Lehericy, S., Bergman, H., et al. (2010). Goal-directed and habitual control in the basal ganglia: Implications for Parkinson’s disease.</w:t>
      </w:r>
      <w:r>
        <w:t xml:space="preserve"> </w:t>
      </w:r>
      <w:r>
        <w:rPr>
          <w:i/>
          <w:iCs/>
        </w:rPr>
        <w:t xml:space="preserve">Nature Reviews Neuroscience</w:t>
      </w:r>
      <w:r>
        <w:t xml:space="preserve">, 11(11), 760–772.</w:t>
      </w:r>
    </w:p>
    <w:p>
      <w:pPr>
        <w:pStyle w:val="BodyText"/>
      </w:pPr>
      <w:r>
        <w:t xml:space="preserve">Shenhav, A., Botvinick, M. M., and Cohen, J. D. (2013). The expected value of control: An integrative theory of anterior cingulate cortex function.</w:t>
      </w:r>
      <w:r>
        <w:t xml:space="preserve"> </w:t>
      </w:r>
      <w:r>
        <w:rPr>
          <w:i/>
          <w:iCs/>
        </w:rPr>
        <w:t xml:space="preserve">Neuron</w:t>
      </w:r>
      <w:r>
        <w:t xml:space="preserve">, 79(2), 217–240.</w:t>
      </w:r>
    </w:p>
    <w:p>
      <w:pPr>
        <w:pStyle w:val="BodyText"/>
      </w:pPr>
      <w:r>
        <w:t xml:space="preserve">Shenhav, A., Musslick, S., Lieder, F., Kool, W., Griffiths, T. L., Cohen, J. D., and Botvinick, M. M. (2017). Toward a rational and mechanistic account of mental effort.</w:t>
      </w:r>
      <w:r>
        <w:t xml:space="preserve"> </w:t>
      </w:r>
      <w:r>
        <w:rPr>
          <w:i/>
          <w:iCs/>
        </w:rPr>
        <w:t xml:space="preserve">Annual Review of Neuroscience</w:t>
      </w:r>
      <w:r>
        <w:t xml:space="preserve">, 40, 99–124.</w:t>
      </w:r>
    </w:p>
    <w:p>
      <w:pPr>
        <w:pStyle w:val="BodyText"/>
      </w:pPr>
      <w:r>
        <w:t xml:space="preserve">Spitzer, R. L., Kroenke, K., Williams, J. B. W., and Loewe, B. (2006). A brief measure for assessing generalized anxiety disorder: The GAD-7.</w:t>
      </w:r>
      <w:r>
        <w:t xml:space="preserve"> </w:t>
      </w:r>
      <w:r>
        <w:rPr>
          <w:i/>
          <w:iCs/>
        </w:rPr>
        <w:t xml:space="preserve">Archives of Internal Medicine</w:t>
      </w:r>
      <w:r>
        <w:t xml:space="preserve">, 166(10), 1092–1097.</w:t>
      </w:r>
    </w:p>
    <w:p>
      <w:pPr>
        <w:pStyle w:val="BodyText"/>
      </w:pPr>
      <w:r>
        <w:t xml:space="preserve">Stroop, J. R. (1935). Studies of interference in serial verbal reactions.</w:t>
      </w:r>
      <w:r>
        <w:t xml:space="preserve"> </w:t>
      </w:r>
      <w:r>
        <w:rPr>
          <w:i/>
          <w:iCs/>
        </w:rPr>
        <w:t xml:space="preserve">Journal of Experimental Psychology</w:t>
      </w:r>
      <w:r>
        <w:t xml:space="preserve">, 18(6), 643–662.</w:t>
      </w:r>
    </w:p>
    <w:p>
      <w:pPr>
        <w:pStyle w:val="BodyText"/>
      </w:pPr>
      <w:r>
        <w:t xml:space="preserve">Stuss, D. T., and Alexander, M. P. (2007). Is there a dysexecutive syndrome?</w:t>
      </w:r>
      <w:r>
        <w:t xml:space="preserve"> </w:t>
      </w:r>
      <w:r>
        <w:rPr>
          <w:i/>
          <w:iCs/>
        </w:rPr>
        <w:t xml:space="preserve">Philosophical Transactions of the Royal Society B</w:t>
      </w:r>
      <w:r>
        <w:t xml:space="preserve">, 362(1481), 901–915.</w:t>
      </w:r>
    </w:p>
    <w:p>
      <w:pPr>
        <w:pStyle w:val="BodyText"/>
      </w:pPr>
      <w:r>
        <w:t xml:space="preserve">Sweller, J. (1988). Cognitive load during problem solving: Effects on learning.</w:t>
      </w:r>
      <w:r>
        <w:t xml:space="preserve"> </w:t>
      </w:r>
      <w:r>
        <w:rPr>
          <w:i/>
          <w:iCs/>
        </w:rPr>
        <w:t xml:space="preserve">Cognitive Science</w:t>
      </w:r>
      <w:r>
        <w:t xml:space="preserve">, 12(2), 257–285.</w:t>
      </w:r>
    </w:p>
    <w:p>
      <w:pPr>
        <w:pStyle w:val="BodyText"/>
      </w:pPr>
      <w:r>
        <w:t xml:space="preserve">Sweller, J., van Merriënboer, J. J. G., and Paas, F. (2019). Cognitive architecture and instructional design: 20 years later.</w:t>
      </w:r>
      <w:r>
        <w:t xml:space="preserve"> </w:t>
      </w:r>
      <w:r>
        <w:rPr>
          <w:i/>
          <w:iCs/>
        </w:rPr>
        <w:t xml:space="preserve">Educational Psychology Review</w:t>
      </w:r>
      <w:r>
        <w:t xml:space="preserve">, 31(2), 261–292.</w:t>
      </w:r>
    </w:p>
    <w:p>
      <w:pPr>
        <w:pStyle w:val="BodyText"/>
      </w:pPr>
      <w:r>
        <w:t xml:space="preserve">Thayer, J. F., and Lane, R. D. (2009). Claude Bernard and the heart–brain connection: Further elaboration of a model of neurovisceral integration.</w:t>
      </w:r>
      <w:r>
        <w:t xml:space="preserve"> </w:t>
      </w:r>
      <w:r>
        <w:rPr>
          <w:i/>
          <w:iCs/>
        </w:rPr>
        <w:t xml:space="preserve">Neuroscience &amp; Biobehavioral Reviews</w:t>
      </w:r>
      <w:r>
        <w:t xml:space="preserve">, 33(2), 81–88.</w:t>
      </w:r>
    </w:p>
    <w:p>
      <w:pPr>
        <w:pStyle w:val="BodyText"/>
      </w:pPr>
      <w:r>
        <w:t xml:space="preserve">Tononi, G. (2004). An information integration theory of consciousness.</w:t>
      </w:r>
      <w:r>
        <w:t xml:space="preserve"> </w:t>
      </w:r>
      <w:r>
        <w:rPr>
          <w:i/>
          <w:iCs/>
        </w:rPr>
        <w:t xml:space="preserve">BMC Neuroscience</w:t>
      </w:r>
      <w:r>
        <w:t xml:space="preserve">, 5, 42.</w:t>
      </w:r>
    </w:p>
    <w:p>
      <w:pPr>
        <w:pStyle w:val="BodyText"/>
      </w:pPr>
      <w:r>
        <w:t xml:space="preserve">Tononi, G., Boly, M., Massimini, M., and Koch, C. (2016). Integrated information theory: An updated account.</w:t>
      </w:r>
      <w:r>
        <w:t xml:space="preserve"> </w:t>
      </w:r>
      <w:r>
        <w:rPr>
          <w:i/>
          <w:iCs/>
        </w:rPr>
        <w:t xml:space="preserve">Archives Italiennes de Biologie</w:t>
      </w:r>
      <w:r>
        <w:t xml:space="preserve">, 154(2-3), 56–67.</w:t>
      </w:r>
    </w:p>
    <w:p>
      <w:pPr>
        <w:pStyle w:val="BodyText"/>
      </w:pPr>
      <w:r>
        <w:t xml:space="preserve">Tort, A. B. L., Komorowski, R., Eichenbaum, H., and Kopell, N. (2010). Measuring phase-amplitude coupling between neuronal oscillations of different frequencies.</w:t>
      </w:r>
      <w:r>
        <w:t xml:space="preserve"> </w:t>
      </w:r>
      <w:r>
        <w:rPr>
          <w:i/>
          <w:iCs/>
        </w:rPr>
        <w:t xml:space="preserve">Journal of Neurophysiology</w:t>
      </w:r>
      <w:r>
        <w:t xml:space="preserve">, 104(2), 1195–1210.</w:t>
      </w:r>
    </w:p>
    <w:p>
      <w:pPr>
        <w:pStyle w:val="BodyText"/>
      </w:pPr>
      <w:r>
        <w:t xml:space="preserve">Vadillo, M. A., Gold, N., and Osman, M. (2016). The bitter truth about sugar and willpower: The limited evidential value of the glucose model of ego depletion.</w:t>
      </w:r>
      <w:r>
        <w:t xml:space="preserve"> </w:t>
      </w:r>
      <w:r>
        <w:rPr>
          <w:i/>
          <w:iCs/>
        </w:rPr>
        <w:t xml:space="preserve">Psychological Science</w:t>
      </w:r>
      <w:r>
        <w:t xml:space="preserve">, 27(9), 1207–1214.</w:t>
      </w:r>
    </w:p>
    <w:p>
      <w:pPr>
        <w:pStyle w:val="BodyText"/>
      </w:pPr>
      <w:r>
        <w:t xml:space="preserve">van der Auwera, J., and Plungian, V. A. (1998). Modality’s semantic map.</w:t>
      </w:r>
      <w:r>
        <w:t xml:space="preserve"> </w:t>
      </w:r>
      <w:r>
        <w:rPr>
          <w:i/>
          <w:iCs/>
        </w:rPr>
        <w:t xml:space="preserve">Linguistic Typology</w:t>
      </w:r>
      <w:r>
        <w:t xml:space="preserve">, 2(1), 79–124.</w:t>
      </w:r>
    </w:p>
    <w:p>
      <w:pPr>
        <w:pStyle w:val="BodyText"/>
      </w:pPr>
      <w:r>
        <w:t xml:space="preserve">Westbrook, A., and Braver, T. S. (2015). Cognitive effort: A neuroeconomic approach.</w:t>
      </w:r>
      <w:r>
        <w:t xml:space="preserve"> </w:t>
      </w:r>
      <w:r>
        <w:rPr>
          <w:i/>
          <w:iCs/>
        </w:rPr>
        <w:t xml:space="preserve">Cognitive, Affective, &amp; Behavioral Neuroscience</w:t>
      </w:r>
      <w:r>
        <w:t xml:space="preserve">, 15(2), 395–415.</w:t>
      </w:r>
    </w:p>
    <w:p>
      <w:pPr>
        <w:pStyle w:val="BodyText"/>
      </w:pPr>
      <w:r>
        <w:t xml:space="preserve">Yeung, N., and Monsell, S. (2003). Switching between tasks of unequal familiarity: The role of stimulus-attribute and response-set selection.</w:t>
      </w:r>
      <w:r>
        <w:t xml:space="preserve"> </w:t>
      </w:r>
      <w:r>
        <w:rPr>
          <w:i/>
          <w:iCs/>
        </w:rPr>
        <w:t xml:space="preserve">Journal of Experimental Psychology: Human Perception and Performance</w:t>
      </w:r>
      <w:r>
        <w:t xml:space="preserve">, 29(2), 455–469.</w:t>
      </w:r>
    </w:p>
    <w:bookmarkEnd w:id="72"/>
    <w:bookmarkEnd w:id="73"/>
    <w:sectPr>
      <w:footerReference w:type="default" r:id="rId999"/>
      <w:lnNumType w:countBy="1" w:start="1" w:restart="newPage" w:distance="36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ns0:Relationships xmlns:ns0="http://schemas.openxmlformats.org/package/2006/relationships"><ns0:Relationship Type="http://schemas.openxmlformats.org/officeDocument/2006/relationships/numbering" Id="rId8" Target="numbering.xml" /><ns0:Relationship Type="http://schemas.openxmlformats.org/officeDocument/2006/relationships/styles" Id="rId7" Target="styles.xml" /><ns0:Relationship Type="http://schemas.openxmlformats.org/officeDocument/2006/relationships/settings" Id="rId6" Target="settings.xml" /><ns0:Relationship Type="http://schemas.openxmlformats.org/officeDocument/2006/relationships/webSettings" Id="rId5" Target="webSettings.xml" /><ns0:Relationship Type="http://schemas.openxmlformats.org/officeDocument/2006/relationships/fontTable" Id="rId4" Target="fontTable.xml" /><ns0:Relationship Type="http://schemas.openxmlformats.org/officeDocument/2006/relationships/theme" Id="rId3" Target="theme/theme1.xml" /><ns0:Relationship Type="http://schemas.openxmlformats.org/officeDocument/2006/relationships/footnotes" Id="rId2" Target="footnotes.xml" /><ns0:Relationship Type="http://schemas.openxmlformats.org/officeDocument/2006/relationships/comments" Id="rId1" Target="comments.xml" /><ns0:Relationship Type="http://schemas.openxmlformats.org/officeDocument/2006/relationships/image" Id="rId19" Target="media/rId19.png" /><ns0:Relationship Type="http://schemas.openxmlformats.org/officeDocument/2006/relationships/image" Id="rId29" Target="media/rId29.png" /><ns0:Relationship Type="http://schemas.openxmlformats.org/officeDocument/2006/relationships/image" Id="rId40" Target="media/rId40.png" /><ns0:Relationship Type="http://schemas.openxmlformats.org/officeDocument/2006/relationships/image" Id="rId51" Target="media/rId51.png" /><ns0:Relationship Type="http://schemas.openxmlformats.org/officeDocument/2006/relationships/image" Id="rId34" Target="media/rId34.png" /><ns0:Relationship Id="rId999" Type="http://schemas.openxmlformats.org/officeDocument/2006/relationships/footer" Target="footer1.xml" /></ns0: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2026-03-06T04:33:42Z</dcterms:created>
  <dcterms:modified xsi:type="dcterms:W3CDTF">2026-03-06T04:33:42Z</dcterms:modified>
</cp:coreProperties>
</file>

<file path=docProps/custom.xml><?xml version="1.0" encoding="utf-8"?>
<Properties xmlns="http://schemas.openxmlformats.org/officeDocument/2006/custom-properties" xmlns:vt="http://schemas.openxmlformats.org/officeDocument/2006/docPropsVTypes"/>
</file>