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5.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6"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bookmarkStart w:id="20" w:name="tab:canonical-cases"/>
    <w:p>
      <w:pPr>
        <w:pStyle w:val="TableCaption"/>
      </w:pPr>
      <w:r>
        <w:t xml:space="preserve">Comparative heuristic profiles of canonical cases.</w:t>
      </w:r>
    </w:p>
    <w:tbl>
      <w:tblPr>
        <w:tblStyle w:val="Table"/>
        <w:tblW w:type="pct" w:w="5000"/>
        <w:tblLayout w:type="fixed"/>
        <w:tblLook w:firstRow="1" w:lastRow="0" w:firstColumn="0" w:lastColumn="0" w:noHBand="0" w:noVBand="0" w:val="0020"/>
        <w:tblCaption w:val="Comparative heuristic profiles of canonical case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w:t>
            </w:r>
            <m:oMath>
              <m:sSup>
                <m:e>
                  <m:r>
                    <m:t>10</m:t>
                  </m:r>
                </m:e>
                <m:sup>
                  <m:r>
                    <m:t>2</m:t>
                  </m:r>
                </m:sup>
              </m:sSup>
              <m:r>
                <m:rPr>
                  <m:nor/>
                  <m:sty m:val="p"/>
                </m:rPr>
                <m:t>–</m:t>
              </m:r>
              <m:sSup>
                <m:e>
                  <m:r>
                    <m:t>10</m:t>
                  </m:r>
                </m:e>
                <m:sup>
                  <m:r>
                    <m:t>4</m:t>
                  </m:r>
                </m:sup>
              </m:sSup>
            </m:oMath>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End w:id="20"/>
    <w:bookmarkStart w:id="21"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1"/>
    <w:bookmarkStart w:id="22"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2"/>
    <w:bookmarkStart w:id="23"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3"/>
    <w:bookmarkStart w:id="24"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4"/>
    <w:bookmarkStart w:id="34"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3745796"/>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6" name="Picture"/>
            <a:graphic>
              <a:graphicData uri="http://schemas.openxmlformats.org/drawingml/2006/picture">
                <pic:pic>
                  <pic:nvPicPr>
                    <pic:cNvPr descr="costly_selective_closure_supplement/figures/figure2_design.png" id="27" name="Picture"/>
                    <pic:cNvPicPr>
                      <a:picLocks noChangeArrowheads="1" noChangeAspect="1"/>
                    </pic:cNvPicPr>
                  </pic:nvPicPr>
                  <pic:blipFill>
                    <a:blip r:embed="rId25"/>
                    <a:stretch>
                      <a:fillRect/>
                    </a:stretch>
                  </pic:blipFill>
                  <pic:spPr bwMode="auto">
                    <a:xfrm>
                      <a:off x="0" y="0"/>
                      <a:ext cx="4800600" cy="3745796"/>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4135679"/>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9" name="Picture"/>
            <a:graphic>
              <a:graphicData uri="http://schemas.openxmlformats.org/drawingml/2006/picture">
                <pic:pic>
                  <pic:nvPicPr>
                    <pic:cNvPr descr="costly_selective_closure_supplement/figures/figure3_results.png" id="30" name="Picture"/>
                    <pic:cNvPicPr>
                      <a:picLocks noChangeArrowheads="1" noChangeAspect="1"/>
                    </pic:cNvPicPr>
                  </pic:nvPicPr>
                  <pic:blipFill>
                    <a:blip r:embed="rId28"/>
                    <a:stretch>
                      <a:fillRect/>
                    </a:stretch>
                  </pic:blipFill>
                  <pic:spPr bwMode="auto">
                    <a:xfrm>
                      <a:off x="0" y="0"/>
                      <a:ext cx="4800600" cy="4135679"/>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A residual concern is that the rollout cooperation measure is affected by unequal episode lengths: real-stake episodes can terminate early, whereas resettable episodes continue to the fixed horizon, and cooperation is computed only over steps in which both agents remain alive. We therefore ran a frozen-policy common-state probe. Policies from every regime and seed were scored on the same global bank of 2,292 paired observations, built from mortality-free states lying in the empirical common support of independently generated real-stake and resettable rollouts (with bank-generation seeds disjoint from the evaluated policies). On identical states at the end of withdrawal, expected mutual cooperation was 0.485 under real stake and 0.030 under cheap reset, a paired difference of 0.454 (95% bootstrap CI [0.346, 0.557]; paired sign-flip permutation</w:t>
      </w:r>
      <w:r>
        <w:t xml:space="preserve"> </w:t>
      </w:r>
      <m:oMath>
        <m:r>
          <m:t>p</m:t>
        </m:r>
        <m:r>
          <m:rPr>
            <m:sty m:val="p"/>
          </m:rPr>
          <m:t>&lt;</m:t>
        </m:r>
        <m:r>
          <m:t>0.0001</m:t>
        </m:r>
      </m:oMath>
      <w:r>
        <w:t xml:space="preserve">); a comparably large separation was already present at the end of training (0.546 versus 0.043). The rollout difference therefore cannot be explained solely by unequal trajectory lengths or by restricting the cooperation denominator to surviving steps. The probe does not remove training-time differences in return structure and state occupancy, which are the mechanisms through which the terminate-versus-reset intervention shapes the learned policies; the full procedure is given in the Appendix.</w:t>
      </w:r>
    </w:p>
    <w:p>
      <w:pPr>
        <w:pStyle w:val="CaptionedFigure"/>
      </w:pPr>
      <w:r>
        <w:drawing>
          <wp:inline>
            <wp:extent cx="4800600" cy="4488365"/>
            <wp:effectExtent b="0" l="0" r="0" t="0"/>
            <wp:docPr descr="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 title="" id="32" name="Picture"/>
            <a:graphic>
              <a:graphicData uri="http://schemas.openxmlformats.org/drawingml/2006/picture">
                <pic:pic>
                  <pic:nvPicPr>
                    <pic:cNvPr descr="costly_selective_closure_supplement/figures/figure4_common_state_probe.png" id="33" name="Picture"/>
                    <pic:cNvPicPr>
                      <a:picLocks noChangeArrowheads="1" noChangeAspect="1"/>
                    </pic:cNvPicPr>
                  </pic:nvPicPr>
                  <pic:blipFill>
                    <a:blip r:embed="rId31"/>
                    <a:stretch>
                      <a:fillRect/>
                    </a:stretch>
                  </pic:blipFill>
                  <pic:spPr bwMode="auto">
                    <a:xfrm>
                      <a:off x="0" y="0"/>
                      <a:ext cx="4800600" cy="4488365"/>
                    </a:xfrm>
                    <a:prstGeom prst="rect">
                      <a:avLst/>
                    </a:prstGeom>
                    <a:noFill/>
                    <a:ln w="9525">
                      <a:noFill/>
                      <a:headEnd/>
                      <a:tailEnd/>
                    </a:ln>
                  </pic:spPr>
                </pic:pic>
              </a:graphicData>
            </a:graphic>
          </wp:inline>
        </w:drawing>
      </w:r>
    </w:p>
    <w:p>
      <w:pPr>
        <w:pStyle w:val="ImageCaption"/>
      </w:pPr>
      <w:r>
        <w:t xml:space="preserve">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Within this deliberately survival-coupled testbed, the terminate-versus-reset intervention — used here as an operationalization of episode-token vulnerability — causally changes the learned policies: cheap restoration strongly suppresses the costly cooperative behavior tested here.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Three organizational levels should be kept distinct. Termination acts at the</w:t>
      </w:r>
      <w:r>
        <w:t xml:space="preserve"> </w:t>
      </w:r>
      <w:r>
        <w:rPr>
          <w:i/>
          <w:iCs/>
        </w:rPr>
        <w:t xml:space="preserve">episode-token</w:t>
      </w:r>
      <w:r>
        <w:t xml:space="preserve"> </w:t>
      </w:r>
      <w:r>
        <w:t xml:space="preserve">level: the depleted agent’s current run ends. Learning and historical accumulation occur at the</w:t>
      </w:r>
      <w:r>
        <w:t xml:space="preserve"> </w:t>
      </w:r>
      <w:r>
        <w:rPr>
          <w:i/>
          <w:iCs/>
        </w:rPr>
        <w:t xml:space="preserve">controller-lineage</w:t>
      </w:r>
      <w:r>
        <w:t xml:space="preserve"> </w:t>
      </w:r>
      <w:r>
        <w:t xml:space="preserve">level, where the policy weights persist across episodes and keep updating; a token’s death does not delete them. Selection pressure is applied by the</w:t>
      </w:r>
      <w:r>
        <w:t xml:space="preserve"> </w:t>
      </w:r>
      <w:r>
        <w:rPr>
          <w:i/>
          <w:iCs/>
        </w:rPr>
        <w:t xml:space="preserve">training process</w:t>
      </w:r>
      <w:r>
        <w:t xml:space="preserve"> </w:t>
      </w:r>
      <w:r>
        <w:t xml:space="preserve">over many episodes. The manipulation therefore controls whether each within-episode failure is terminal; it does not construct a self-contained digital organism whose controller is physically destroyed on death. What the experiment tests is how episode-token termination shapes the across-episode learning pressure, and the common-state probe indicates that, in this environment, the effect appears as a difference in the learned policies rather than only in the rollout measurement window. Full experimental details are given in the Appendix, and an anonymized reproduction package (code, fixed result files, and figure scripts) is provided as supplementary material.</w:t>
      </w:r>
    </w:p>
    <w:bookmarkEnd w:id="34"/>
    <w:bookmarkStart w:id="35"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5"/>
    <w:bookmarkEnd w:id="36"/>
    <w:bookmarkStart w:id="38"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bookmarkStart w:id="37" w:name="tab:borderline-cases"/>
    <w:p>
      <w:pPr>
        <w:pStyle w:val="TableCaption"/>
      </w:pPr>
      <w:r>
        <w:t xml:space="preserve">Discriminating profiles of borderline cases at the stated organizational level.</w:t>
      </w:r>
    </w:p>
    <w:tbl>
      <w:tblPr>
        <w:tblStyle w:val="Table"/>
        <w:tblW w:type="pct" w:w="5000"/>
        <w:tblLayout w:type="fixed"/>
        <w:tblLook w:firstRow="1" w:lastRow="0" w:firstColumn="0" w:lastColumn="0" w:noHBand="0" w:noVBand="0" w:val="0020"/>
        <w:tblCaption w:val="Discriminating profiles of borderline cases at the stated organizational level."/>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bookmarkEnd w:id="37"/>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8"/>
    <w:bookmarkStart w:id="39"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 A frozen-policy probe on matched states indicates that the central real-versus-resettable contrast reflects a difference in the learned policies rather than a measurement-window artifact, without extending the broader life-likeness claim.</w:t>
      </w:r>
    </w:p>
    <w:bookmarkEnd w:id="39"/>
    <w:bookmarkStart w:id="40"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40"/>
    <w:bookmarkStart w:id="41"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41"/>
    <w:bookmarkStart w:id="42"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42"/>
    <w:bookmarkStart w:id="51"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44"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bookmarkStart w:id="43" w:name="tab:reward-energy"/>
    <w:p>
      <w:pPr>
        <w:pStyle w:val="TableCaption"/>
      </w:pPr>
      <w:r>
        <w:t xml:space="preserve">Immediate reward and energy gain by joint action.</w:t>
      </w:r>
    </w:p>
    <w:tbl>
      <w:tblPr>
        <w:tblStyle w:val="Table"/>
        <w:tblW w:type="auto" w:w="0"/>
        <w:tblLook w:firstRow="1" w:lastRow="0" w:firstColumn="0" w:lastColumn="0" w:noHBand="0" w:noVBand="0" w:val="0020"/>
        <w:tblCaption w:val="Immediate reward and energy gain by joint action."/>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bookmarkEnd w:id="43"/>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44"/>
    <w:bookmarkStart w:id="45"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45"/>
    <w:bookmarkStart w:id="46"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6"/>
    <w:bookmarkStart w:id="47"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7"/>
    <w:bookmarkStart w:id="48"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8"/>
    <w:bookmarkStart w:id="50" w:name="a.6-common-state-frozen-policy-probe"/>
    <w:p>
      <w:pPr>
        <w:pStyle w:val="Heading3"/>
      </w:pPr>
      <w:r>
        <w:t xml:space="preserve">A.6 Common-State Frozen-Policy Probe</w:t>
      </w:r>
    </w:p>
    <w:p>
      <w:pPr>
        <w:pStyle w:val="FirstParagraph"/>
      </w:pPr>
      <w:r>
        <w:t xml:space="preserve">The rollout cooperation rate is computed over steps in which both agents are alive, and real-stake episodes can terminate early while resettable episodes run to the fixed horizon. To check that the real–resettable gap is not primarily an artifact of this unequal, informatively censored measurement window, we evaluate frozen policies on identical inputs.</w:t>
      </w:r>
    </w:p>
    <w:p>
      <w:pPr>
        <w:pStyle w:val="BodyText"/>
      </w:pPr>
      <w:r>
        <w:rPr>
          <w:i/>
          <w:iCs/>
        </w:rPr>
        <w:t xml:space="preserve">Three levels.</w:t>
      </w:r>
      <w:r>
        <w:t xml:space="preserve"> </w:t>
      </w:r>
      <w:r>
        <w:t xml:space="preserve">Termination acts at the</w:t>
      </w:r>
      <w:r>
        <w:t xml:space="preserve"> </w:t>
      </w:r>
      <w:r>
        <w:rPr>
          <w:b/>
          <w:bCs/>
        </w:rPr>
        <w:t xml:space="preserve">episode-token</w:t>
      </w:r>
      <w:r>
        <w:t xml:space="preserve"> </w:t>
      </w:r>
      <w:r>
        <w:t xml:space="preserve">level (a depleted agent’s run ends); learning and history accumulate at the</w:t>
      </w:r>
      <w:r>
        <w:t xml:space="preserve"> </w:t>
      </w:r>
      <w:r>
        <w:rPr>
          <w:b/>
          <w:bCs/>
        </w:rPr>
        <w:t xml:space="preserve">controller-lineage</w:t>
      </w:r>
      <w:r>
        <w:t xml:space="preserve"> </w:t>
      </w:r>
      <w:r>
        <w:t xml:space="preserve">level (the policy weights persist across episodes and are not deleted when a token dies); selection is applied by the</w:t>
      </w:r>
      <w:r>
        <w:t xml:space="preserve"> </w:t>
      </w:r>
      <w:r>
        <w:rPr>
          <w:b/>
          <w:bCs/>
        </w:rPr>
        <w:t xml:space="preserve">training process</w:t>
      </w:r>
      <w:r>
        <w:t xml:space="preserve"> </w:t>
      </w:r>
      <w:r>
        <w:t xml:space="preserve">over many episodes. The probe asks whether the learned controllers differ, not whether a token was censored.</w:t>
      </w:r>
    </w:p>
    <w:p>
      <w:pPr>
        <w:pStyle w:val="BodyText"/>
      </w:pPr>
      <w:r>
        <w:rPr>
          <w:i/>
          <w:iCs/>
        </w:rPr>
        <w:t xml:space="preserve">Independent bank generation.</w:t>
      </w:r>
      <w:r>
        <w:t xml:space="preserve"> </w:t>
      </w:r>
      <w:r>
        <w:t xml:space="preserve">The observation bank is built from held-out rollouts of policies trained on bank-generation seeds (1001–1010), disjoint from the evaluation seeds (1–30), so the evaluated policies never contribute states to the bank on which they are scored.</w:t>
      </w:r>
    </w:p>
    <w:p>
      <w:pPr>
        <w:pStyle w:val="BodyText"/>
      </w:pPr>
      <w:r>
        <w:rPr>
          <w:i/>
          <w:iCs/>
        </w:rPr>
        <w:t xml:space="preserve">Mortality-free common support.</w:t>
      </w:r>
      <w:r>
        <w:t xml:space="preserve"> </w:t>
      </w:r>
      <w:r>
        <w:t xml:space="preserve">Only states with mortality token 0 enter the headline bank, because real-stake produces essentially no mortality-flagged both-alive states (real: 0; resettable: 11,089), whereas resettable accumulates many after cheap restoration. States are binned by mean normalized energy (low/mid/high) × time-to-horizon (early/middle/late). A cell enters the bank only if</w:t>
      </w:r>
      <w:r>
        <w:t xml:space="preserve"> </w:t>
      </w:r>
      <w:r>
        <w:rPr>
          <w:i/>
          <w:iCs/>
        </w:rPr>
        <w:t xml:space="preserve">both</w:t>
      </w:r>
      <w:r>
        <w:t xml:space="preserve"> </w:t>
      </w:r>
      <w:r>
        <w:t xml:space="preserve">regimes reach at least 30 states in it; within each included cell, equal numbers of real and resettable states are sampled (50/50 contribution). Six of nine cells qualified (high×early, high×middle, high×late, low×early, low×middle, mid×early); three were excluded for lack of resettable coverage (low×late, mid×late, mid×middle). The final bank contains 2,292 paired observations. A separate mortality-token-1 bank (resettable states only; real has none) is reported as an exploratory out-of-distribution stress test, not as part of the headline.</w:t>
      </w:r>
    </w:p>
    <w:p>
      <w:pPr>
        <w:pStyle w:val="BodyText"/>
      </w:pPr>
      <w:r>
        <w:rPr>
          <w:i/>
          <w:iCs/>
        </w:rPr>
        <w:t xml:space="preserve">Statistic.</w:t>
      </w:r>
      <w:r>
        <w:t xml:space="preserve"> </w:t>
      </w:r>
      <w:r>
        <w:t xml:space="preserve">For each paired state, expected mutual cooperation is</w:t>
      </w:r>
      <w:r>
        <w:t xml:space="preserve"> </w:t>
      </w:r>
      <m:oMath>
        <m:r>
          <m:t>P</m:t>
        </m:r>
        <m:r>
          <m:rPr>
            <m:sty m:val="p"/>
          </m:rPr>
          <m:t>(</m:t>
        </m:r>
        <m:r>
          <m:t>C</m:t>
        </m:r>
        <m:r>
          <m:t>C</m:t>
        </m:r>
        <m:r>
          <m:rPr>
            <m:sty m:val="p"/>
          </m:rPr>
          <m:t>∣</m:t>
        </m:r>
        <m:r>
          <m:t>s</m:t>
        </m:r>
        <m:r>
          <m:rPr>
            <m:sty m:val="p"/>
          </m:rPr>
          <m:t>)</m:t>
        </m:r>
        <m:r>
          <m:rPr>
            <m:sty m:val="p"/>
          </m:rPr>
          <m:t>=</m:t>
        </m:r>
        <m:sSub>
          <m:e>
            <m:r>
              <m:t>P</m:t>
            </m:r>
          </m:e>
          <m:sub>
            <m:r>
              <m:t>1</m:t>
            </m:r>
          </m:sub>
        </m:sSub>
        <m:r>
          <m:rPr>
            <m:sty m:val="p"/>
          </m:rPr>
          <m:t>(</m:t>
        </m:r>
        <m:r>
          <m:t>C</m:t>
        </m:r>
        <m:r>
          <m:rPr>
            <m:sty m:val="p"/>
          </m:rPr>
          <m:t>∣</m:t>
        </m:r>
        <m:sSub>
          <m:e>
            <m:r>
              <m:t>s</m:t>
            </m:r>
          </m:e>
          <m:sub>
            <m:r>
              <m:t>1</m:t>
            </m:r>
          </m:sub>
        </m:sSub>
        <m:r>
          <m:rPr>
            <m:sty m:val="p"/>
          </m:rPr>
          <m:t>)</m:t>
        </m:r>
        <m:r>
          <m:t> </m:t>
        </m:r>
        <m:sSub>
          <m:e>
            <m:r>
              <m:t>P</m:t>
            </m:r>
          </m:e>
          <m:sub>
            <m:r>
              <m:t>2</m:t>
            </m:r>
          </m:sub>
        </m:sSub>
        <m:r>
          <m:rPr>
            <m:sty m:val="p"/>
          </m:rPr>
          <m:t>(</m:t>
        </m:r>
        <m:r>
          <m:t>C</m:t>
        </m:r>
        <m:r>
          <m:rPr>
            <m:sty m:val="p"/>
          </m:rPr>
          <m:t>∣</m:t>
        </m:r>
        <m:sSub>
          <m:e>
            <m:r>
              <m:t>s</m:t>
            </m:r>
          </m:e>
          <m:sub>
            <m:r>
              <m:t>2</m:t>
            </m:r>
          </m:sub>
        </m:sSub>
        <m:r>
          <m:rPr>
            <m:sty m:val="p"/>
          </m:rPr>
          <m:t>)</m:t>
        </m:r>
      </m:oMath>
      <w:r>
        <w:t xml:space="preserve">, the product of the two frozen softmax cooperation probabilities; each regime’s diagnostic is the mean over the bank. Two checkpoints are reported: end-of-training (episode 1000, before withdrawal) and end-of-withdrawal (episode 1300). Uncertainty on the paired real − resettable difference uses a percentile bootstrap (10,000 resamples) and a two-sided paired sign-flip permutation test (20,000 resamples). The probe was run under Python 3.14 / NumPy 2.5.1, and the retrained rollout anchors reproduced the committed values (real 0.548, resettable 0.037, simulated 0.073).</w:t>
      </w:r>
    </w:p>
    <w:bookmarkStart w:id="49" w:name="tab:common-state-probe"/>
    <w:p>
      <w:pPr>
        <w:pStyle w:val="TableCaption"/>
      </w:pPr>
      <w:r>
        <w:t xml:space="preserve">Common-state frozen-policy probe results.</w:t>
      </w:r>
    </w:p>
    <w:tbl>
      <w:tblPr>
        <w:tblStyle w:val="Table"/>
        <w:tblW w:type="auto" w:w="0"/>
        <w:tblLook w:firstRow="1" w:lastRow="0" w:firstColumn="0" w:lastColumn="0" w:noHBand="0" w:noVBand="0" w:val="0020"/>
        <w:tblCaption w:val="Common-state frozen-policy probe results."/>
      </w:tblPr>
      <w:tblGrid>
        <w:gridCol w:w="1584"/>
        <w:gridCol w:w="1584"/>
        <w:gridCol w:w="1584"/>
        <w:gridCol w:w="1584"/>
        <w:gridCol w:w="1584"/>
      </w:tblGrid>
      <w:tr>
        <w:trPr>
          <w:tblHeader w:val="on"/>
        </w:trPr>
        <w:tc>
          <w:tcPr/>
          <w:p>
            <w:pPr>
              <w:pStyle w:val="Compact"/>
            </w:pPr>
            <w:r>
              <w:t xml:space="preserve">checkpoint</w:t>
            </w:r>
          </w:p>
        </w:tc>
        <w:tc>
          <w:tcPr/>
          <w:p>
            <w:pPr>
              <w:pStyle w:val="Compact"/>
            </w:pPr>
            <w:r>
              <w:t xml:space="preserve">regime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IQR</w:t>
            </w:r>
          </w:p>
        </w:tc>
      </w:tr>
      <w:tr>
        <w:tc>
          <w:tcPr/>
          <w:p>
            <w:pPr>
              <w:pStyle w:val="Compact"/>
            </w:pPr>
            <w:r>
              <w:t xml:space="preserve">end-of-training</w:t>
            </w:r>
          </w:p>
        </w:tc>
        <w:tc>
          <w:tcPr/>
          <w:p>
            <w:pPr>
              <w:pStyle w:val="Compact"/>
            </w:pPr>
            <w:r>
              <w:t xml:space="preserve">real</w:t>
            </w:r>
          </w:p>
        </w:tc>
        <w:tc>
          <w:tcPr/>
          <w:p>
            <w:pPr>
              <w:pStyle w:val="Compact"/>
              <w:jc w:val="right"/>
            </w:pPr>
            <w:r>
              <w:t xml:space="preserve">0.546</w:t>
            </w:r>
          </w:p>
        </w:tc>
        <w:tc>
          <w:tcPr/>
          <w:p>
            <w:pPr>
              <w:pStyle w:val="Compact"/>
              <w:jc w:val="right"/>
            </w:pPr>
            <w:r>
              <w:t xml:space="preserve">0.714</w:t>
            </w:r>
          </w:p>
        </w:tc>
        <w:tc>
          <w:tcPr/>
          <w:p>
            <w:pPr>
              <w:pStyle w:val="Compact"/>
              <w:jc w:val="right"/>
            </w:pPr>
            <w:r>
              <w:t xml:space="preserve">[0.494, 0.771]</w:t>
            </w:r>
          </w:p>
        </w:tc>
      </w:tr>
      <w:tr>
        <w:tc>
          <w:tcPr/>
          <w:p>
            <w:pPr>
              <w:pStyle w:val="Compact"/>
            </w:pPr>
            <w:r>
              <w:t xml:space="preserve">end-of-training</w:t>
            </w:r>
          </w:p>
        </w:tc>
        <w:tc>
          <w:tcPr/>
          <w:p>
            <w:pPr>
              <w:pStyle w:val="Compact"/>
            </w:pPr>
            <w:r>
              <w:t xml:space="preserve">resettable</w:t>
            </w:r>
          </w:p>
        </w:tc>
        <w:tc>
          <w:tcPr/>
          <w:p>
            <w:pPr>
              <w:pStyle w:val="Compact"/>
              <w:jc w:val="right"/>
            </w:pPr>
            <w:r>
              <w:t xml:space="preserve">0.043</w:t>
            </w:r>
          </w:p>
        </w:tc>
        <w:tc>
          <w:tcPr/>
          <w:p>
            <w:pPr>
              <w:pStyle w:val="Compact"/>
              <w:jc w:val="right"/>
            </w:pPr>
            <w:r>
              <w:t xml:space="preserve">0.001</w:t>
            </w:r>
          </w:p>
        </w:tc>
        <w:tc>
          <w:tcPr/>
          <w:p>
            <w:pPr>
              <w:pStyle w:val="Compact"/>
              <w:jc w:val="right"/>
            </w:pPr>
            <w:r>
              <w:t xml:space="preserve">[0.001, 0.003]</w:t>
            </w:r>
          </w:p>
        </w:tc>
      </w:tr>
      <w:tr>
        <w:tc>
          <w:tcPr/>
          <w:p>
            <w:pPr>
              <w:pStyle w:val="Compact"/>
            </w:pPr>
            <w:r>
              <w:t xml:space="preserve">end-of-training</w:t>
            </w:r>
          </w:p>
        </w:tc>
        <w:tc>
          <w:tcPr/>
          <w:p>
            <w:pPr>
              <w:pStyle w:val="Compact"/>
            </w:pPr>
            <w:r>
              <w:t xml:space="preserve">simulated</w:t>
            </w:r>
          </w:p>
        </w:tc>
        <w:tc>
          <w:tcPr/>
          <w:p>
            <w:pPr>
              <w:pStyle w:val="Compact"/>
              <w:jc w:val="right"/>
            </w:pPr>
            <w:r>
              <w:t xml:space="preserve">0.064</w:t>
            </w:r>
          </w:p>
        </w:tc>
        <w:tc>
          <w:tcPr/>
          <w:p>
            <w:pPr>
              <w:pStyle w:val="Compact"/>
              <w:jc w:val="right"/>
            </w:pPr>
            <w:r>
              <w:t xml:space="preserve">0.001</w:t>
            </w:r>
          </w:p>
        </w:tc>
        <w:tc>
          <w:tcPr/>
          <w:p>
            <w:pPr>
              <w:pStyle w:val="Compact"/>
              <w:jc w:val="right"/>
            </w:pPr>
            <w:r>
              <w:t xml:space="preserve">[0.001, 0.001]</w:t>
            </w:r>
          </w:p>
        </w:tc>
      </w:tr>
      <w:tr>
        <w:tc>
          <w:tcPr/>
          <w:p>
            <w:pPr>
              <w:pStyle w:val="Compact"/>
            </w:pPr>
            <w:r>
              <w:t xml:space="preserve">end-of-withdrawal</w:t>
            </w:r>
          </w:p>
        </w:tc>
        <w:tc>
          <w:tcPr/>
          <w:p>
            <w:pPr>
              <w:pStyle w:val="Compact"/>
            </w:pPr>
            <w:r>
              <w:t xml:space="preserve">real</w:t>
            </w:r>
          </w:p>
        </w:tc>
        <w:tc>
          <w:tcPr/>
          <w:p>
            <w:pPr>
              <w:pStyle w:val="Compact"/>
              <w:jc w:val="right"/>
            </w:pPr>
            <w:r>
              <w:t xml:space="preserve">0.485</w:t>
            </w:r>
          </w:p>
        </w:tc>
        <w:tc>
          <w:tcPr/>
          <w:p>
            <w:pPr>
              <w:pStyle w:val="Compact"/>
              <w:jc w:val="right"/>
            </w:pPr>
            <w:r>
              <w:t xml:space="preserve">0.618</w:t>
            </w:r>
          </w:p>
        </w:tc>
        <w:tc>
          <w:tcPr/>
          <w:p>
            <w:pPr>
              <w:pStyle w:val="Compact"/>
              <w:jc w:val="right"/>
            </w:pPr>
            <w:r>
              <w:t xml:space="preserve">[0.285, 0.750]</w:t>
            </w:r>
          </w:p>
        </w:tc>
      </w:tr>
      <w:tr>
        <w:tc>
          <w:tcPr/>
          <w:p>
            <w:pPr>
              <w:pStyle w:val="Compact"/>
            </w:pPr>
            <w:r>
              <w:t xml:space="preserve">end-of-withdrawal</w:t>
            </w:r>
          </w:p>
        </w:tc>
        <w:tc>
          <w:tcPr/>
          <w:p>
            <w:pPr>
              <w:pStyle w:val="Compact"/>
            </w:pPr>
            <w:r>
              <w:t xml:space="preserve">resettable</w:t>
            </w:r>
          </w:p>
        </w:tc>
        <w:tc>
          <w:tcPr/>
          <w:p>
            <w:pPr>
              <w:pStyle w:val="Compact"/>
              <w:jc w:val="right"/>
            </w:pPr>
            <w:r>
              <w:t xml:space="preserve">0.030</w:t>
            </w:r>
          </w:p>
        </w:tc>
        <w:tc>
          <w:tcPr/>
          <w:p>
            <w:pPr>
              <w:pStyle w:val="Compact"/>
              <w:jc w:val="right"/>
            </w:pPr>
            <w:r>
              <w:t xml:space="preserve">0.000</w:t>
            </w:r>
          </w:p>
        </w:tc>
        <w:tc>
          <w:tcPr/>
          <w:p>
            <w:pPr>
              <w:pStyle w:val="Compact"/>
              <w:jc w:val="right"/>
            </w:pPr>
            <w:r>
              <w:t xml:space="preserve">[0.000, 0.001]</w:t>
            </w:r>
          </w:p>
        </w:tc>
      </w:tr>
      <w:tr>
        <w:tc>
          <w:tcPr/>
          <w:p>
            <w:pPr>
              <w:pStyle w:val="Compact"/>
            </w:pPr>
            <w:r>
              <w:t xml:space="preserve">end-of-withdrawal</w:t>
            </w:r>
          </w:p>
        </w:tc>
        <w:tc>
          <w:tcPr/>
          <w:p>
            <w:pPr>
              <w:pStyle w:val="Compact"/>
            </w:pPr>
            <w:r>
              <w:t xml:space="preserve">simulated</w:t>
            </w:r>
          </w:p>
        </w:tc>
        <w:tc>
          <w:tcPr/>
          <w:p>
            <w:pPr>
              <w:pStyle w:val="Compact"/>
              <w:jc w:val="right"/>
            </w:pPr>
            <w:r>
              <w:t xml:space="preserve">0.053</w:t>
            </w:r>
          </w:p>
        </w:tc>
        <w:tc>
          <w:tcPr/>
          <w:p>
            <w:pPr>
              <w:pStyle w:val="Compact"/>
              <w:jc w:val="right"/>
            </w:pPr>
            <w:r>
              <w:t xml:space="preserve">0.000</w:t>
            </w:r>
          </w:p>
        </w:tc>
        <w:tc>
          <w:tcPr/>
          <w:p>
            <w:pPr>
              <w:pStyle w:val="Compact"/>
              <w:jc w:val="right"/>
            </w:pPr>
            <w:r>
              <w:t xml:space="preserve">[0.000, 0.001]</w:t>
            </w:r>
          </w:p>
        </w:tc>
      </w:tr>
    </w:tbl>
    <w:bookmarkEnd w:id="49"/>
    <w:p>
      <w:pPr>
        <w:pStyle w:val="BodyText"/>
      </w:pPr>
      <w:r>
        <w:t xml:space="preserve">The paired real − resettable difference is +0.503 (95% CI [0.385, 0.612],</w:t>
      </w:r>
      <w:r>
        <w:t xml:space="preserve"> </w:t>
      </w:r>
      <m:oMath>
        <m:r>
          <m:t>p</m:t>
        </m:r>
        <m:r>
          <m:rPr>
            <m:sty m:val="p"/>
          </m:rPr>
          <m:t>&lt;</m:t>
        </m:r>
        <m:r>
          <m:t>0.0001</m:t>
        </m:r>
      </m:oMath>
      <w:r>
        <w:t xml:space="preserve">) at the end of training and +0.454 (95% CI [0.346, 0.557],</w:t>
      </w:r>
      <w:r>
        <w:t xml:space="preserve"> </w:t>
      </w:r>
      <m:oMath>
        <m:r>
          <m:t>p</m:t>
        </m:r>
        <m:r>
          <m:rPr>
            <m:sty m:val="p"/>
          </m:rPr>
          <m:t>&lt;</m:t>
        </m:r>
        <m:r>
          <m:t>0.0001</m:t>
        </m:r>
      </m:oMath>
      <w:r>
        <w:t xml:space="preserve">) at the end of withdrawal (Figure 4). Real-stake seeds show basin-like heterogeneity: a subset sit near zero while most sit high (end-of-withdrawal median 0.618, with 60% of seeds above 0.5), which we describe as apparent clustering rather than formally bimodal. On identical states, the frozen policies differ substantially, which the unequal-length rollout window cannot by itself explain.</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2026-07-11T14:57:57Z</dcterms:created>
  <dcterms:modified xsi:type="dcterms:W3CDTF">2026-07-11T14:57:57Z</dcterms:modified>
</cp:coreProperties>
</file>

<file path=docProps/custom.xml><?xml version="1.0" encoding="utf-8"?>
<Properties xmlns="http://schemas.openxmlformats.org/officeDocument/2006/custom-properties" xmlns:vt="http://schemas.openxmlformats.org/officeDocument/2006/docPropsVTypes"/>
</file>