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DocTitle"/>
        <w:jc w:val="center"/>
        <w:spacing w:before="2200" w:after="120"/>
      </w:pPr>
      <w:r>
        <w:t>软件项目管理课程报告</w:t>
      </w:r>
    </w:p>
    <w:p>
      <w:pPr>
        <w:pStyle w:val="Subtitle"/>
        <w:jc w:val="center"/>
        <w:spacing w:after="360"/>
      </w:pPr>
      <w:r>
        <w:t>AI Learning Workspace / 大学生智能学习辅助平台</w:t>
      </w:r>
    </w:p>
    <w:p>
      <w:pPr>
        <w:pStyle w:val="Meta"/>
        <w:jc w:val="center"/>
        <w:spacing w:after="80"/>
      </w:pPr>
      <w:r>
        <w:t>正式整理版</w:t>
      </w:r>
    </w:p>
    <w:p>
      <w:pPr>
        <w:pStyle w:val="Meta"/>
        <w:jc w:val="center"/>
        <w:spacing w:after="720"/>
      </w:pPr>
      <w:r>
        <w:t>生成日期：2026-06-16</w:t>
      </w:r>
    </w:p>
    <w:p>
      <w:pPr>
        <w:pStyle w:val="BodyText"/>
        <w:jc w:val="center"/>
        <w:spacing w:after="120"/>
      </w:pPr>
      <w:r>
        <w:t>说明：本文档由 11 份课程报告合并整理而成，保留原报告标题、层级、表格和项目业务内容，便于后续转换为 LaTeX。</w:t>
      </w:r>
    </w:p>
    <w:p>
      <w:r>
        <w:br w:type="page"/>
      </w:r>
    </w:p>
    <w:p>
      <w:pPr>
        <w:pStyle w:val="Heading1"/>
        <w:spacing w:after="200"/>
      </w:pPr>
      <w:r>
        <w:t>目录</w:t>
      </w:r>
    </w:p>
    <w:p>
      <w:pPr>
        <w:pStyle w:val="TocLine"/>
        <w:spacing w:after="60"/>
      </w:pPr>
      <w:r>
        <w:t>01-项目建议书</w:t>
      </w:r>
    </w:p>
    <w:p>
      <w:pPr>
        <w:pStyle w:val="TocLine"/>
        <w:spacing w:after="60"/>
      </w:pPr>
      <w:r>
        <w:t>02-可行性分析报告</w:t>
      </w:r>
    </w:p>
    <w:p>
      <w:pPr>
        <w:pStyle w:val="TocLine"/>
        <w:spacing w:after="60"/>
      </w:pPr>
      <w:r>
        <w:t>03-资源计划</w:t>
      </w:r>
    </w:p>
    <w:p>
      <w:pPr>
        <w:pStyle w:val="TocLine"/>
        <w:spacing w:after="60"/>
      </w:pPr>
      <w:r>
        <w:t>04-进度计划</w:t>
      </w:r>
    </w:p>
    <w:p>
      <w:pPr>
        <w:pStyle w:val="TocLine"/>
        <w:spacing w:after="60"/>
      </w:pPr>
      <w:r>
        <w:t>05-成本计划</w:t>
      </w:r>
    </w:p>
    <w:p>
      <w:pPr>
        <w:pStyle w:val="TocLine"/>
        <w:spacing w:after="60"/>
      </w:pPr>
      <w:r>
        <w:t>06-风险计划</w:t>
      </w:r>
    </w:p>
    <w:p>
      <w:pPr>
        <w:pStyle w:val="TocLine"/>
        <w:spacing w:after="60"/>
      </w:pPr>
      <w:r>
        <w:t>07-质量计划</w:t>
      </w:r>
    </w:p>
    <w:p>
      <w:pPr>
        <w:pStyle w:val="TocLine"/>
        <w:spacing w:after="60"/>
      </w:pPr>
      <w:r>
        <w:t>08-项目估算报告</w:t>
      </w:r>
    </w:p>
    <w:p>
      <w:pPr>
        <w:pStyle w:val="TocLine"/>
        <w:spacing w:after="60"/>
      </w:pPr>
      <w:r>
        <w:t>09-质量管理报告</w:t>
      </w:r>
    </w:p>
    <w:p>
      <w:pPr>
        <w:pStyle w:val="TocLine"/>
        <w:spacing w:after="60"/>
      </w:pPr>
      <w:r>
        <w:t>10-风险管理报告</w:t>
      </w:r>
    </w:p>
    <w:p>
      <w:pPr>
        <w:pStyle w:val="TocLine"/>
        <w:spacing w:after="60"/>
      </w:pPr>
      <w:r>
        <w:t>11-项目总结报告</w:t>
      </w:r>
    </w:p>
    <w:p>
      <w:r>
        <w:br w:type="page"/>
      </w:r>
    </w:p>
    <w:p>
      <w:pPr>
        <w:pStyle w:val="Heading1"/>
        <w:keepNext/>
      </w:pPr>
      <w:r>
        <w:t>01 项目建议书</w:t>
      </w:r>
    </w:p>
    <w:p>
      <w:pPr>
        <w:pStyle w:val="Heading2"/>
        <w:keepNext/>
      </w:pPr>
      <w:r>
        <w:t>一、项目背景</w:t>
      </w:r>
    </w:p>
    <w:p>
      <w:pPr>
        <w:pStyle w:val="BodyText"/>
      </w:pPr>
      <w:r>
        <w:t>本项目以“AI Learning Workspace / 大学生智能学习辅助平台”为对象，来源于第十五届中国软件杯 A 组赛题“A3-基于大模型的个性化资源生成与学习多智能体系统开发”。当前系统已经形成课程空间、学习现场、资料库、知识图谱、AI Terminal、学习规划、学习画像、AI Studio、闪卡复习、多模态分析等核心能力，适合作为软件项目管理课程的完整案例。</w:t>
      </w:r>
    </w:p>
    <w:p>
      <w:pPr>
        <w:pStyle w:val="BodyText"/>
      </w:pPr>
      <w:r>
        <w:t>随着高校课程资料形态不断丰富，学生的学习活动已经不再局限于教材和课堂笔记，而是同时包含课件、论文、代码仓库、实验文档、在线讨论、视频资料和 AI 对话结果。传统学习工具通常只解决其中一个环节，例如文件管理、笔记记录或问答辅助，缺少对完整学习过程的组织能力。本项目希望以课程为单位建立统一工作空间，把资料、任务、智能辅助和学习反馈连接起来。</w:t>
      </w:r>
    </w:p>
    <w:p>
      <w:pPr>
        <w:pStyle w:val="BodyText"/>
      </w:pPr>
      <w:r>
        <w:t>从课程项目管理角度看，该项目具有较完整的软件项目特征：有明确的用户对象，有较复杂的功能范围，有前后端和数据库架构，有外部智能服务依赖，也有课程报告、答辩演示和竞赛作品等交付物。因此，它不仅是一个软件开发项目，也适合作为学习项目建议书、可行性分析、资源计划、进度计划、成本计划、风险计划和质量管理的综合案例。</w:t>
      </w:r>
    </w:p>
    <w:p>
      <w:pPr>
        <w:pStyle w:val="BodyText"/>
      </w:pPr>
      <w:r>
        <w:t>本项目建议启动的直接依据来自已经实现和设计中的业务链路：用户先注册登录，再创建课程 Workspace，上传课件、网页、笔记、代码、音视频等资料；随后通过 AI Terminal 输入学习目标，系统可生成学习计划或创建 Workbench；用户在 Workbench 中并排查看资料、记录笔记、编辑代码、使用 AI 助手和 AI Studio 生成测验、闪卡、思维导图或可视化讲解；最后通过知识图谱、学习画像和学习事件记录进行复盘。这个闭环说明项目不是单纯的聊天工具，而是围绕“课程学习过程”建立的工作空间产品。</w:t>
      </w:r>
    </w:p>
    <w:p>
      <w:pPr>
        <w:pStyle w:val="Heading2"/>
        <w:keepNext/>
      </w:pPr>
      <w:r>
        <w:t>二、项目意义和必要性</w:t>
      </w:r>
    </w:p>
    <w:p>
      <w:pPr>
        <w:pStyle w:val="BodyText"/>
        <w:numPr>
          <w:ilvl w:val="0"/>
          <w:numId w:val="2"/>
        </w:numPr>
      </w:pPr>
      <w:r>
        <w:t>将课程资料、学习过程、智能问答和资源生成统一到一个平台中，能解决大学生学习资料分散、目标不清和过程难以追踪的问题。</w:t>
      </w:r>
    </w:p>
    <w:p>
      <w:pPr>
        <w:pStyle w:val="BodyText"/>
        <w:numPr>
          <w:ilvl w:val="0"/>
          <w:numId w:val="2"/>
        </w:numPr>
      </w:pPr>
      <w:r>
        <w:t>以真实软件杯项目为基础做课程化整理，能够把软件项目管理中的立项、计划、执行、监控和收尾串成一条完整链路。</w:t>
      </w:r>
    </w:p>
    <w:p>
      <w:pPr>
        <w:pStyle w:val="BodyText"/>
        <w:numPr>
          <w:ilvl w:val="0"/>
          <w:numId w:val="2"/>
        </w:numPr>
      </w:pPr>
      <w:r>
        <w:t>项目天然包含前端、后端、数据库、智能体、检索、图谱和多模态能力，适合覆盖项目管理中的范围、进度、成本、质量、风险等主题。</w:t>
      </w:r>
    </w:p>
    <w:p>
      <w:pPr>
        <w:pStyle w:val="BodyText"/>
      </w:pPr>
      <w:r>
        <w:t>项目的必要性主要体现在三个层面。第一，在学生层面，平台可以帮助用户把学习资料和学习任务放到同一空间中，减少资料散乱、重复整理和目标模糊的问题。第二，在教学和竞赛层面，项目能够展示大模型技术在真实学习场景中的应用价值，而不是停留在单轮问答或简单文档总结。第三，在软件项目管理课程层面，项目能够支撑完整的管理文档链条，使报告内容与真实开发过程对应起来。</w:t>
      </w:r>
    </w:p>
    <w:p>
      <w:pPr>
        <w:pStyle w:val="BodyText"/>
      </w:pPr>
      <w:r>
        <w:t>此外，项目采用 Codex 类 AI 辅助开发方式，能够体现当前软件工程实践中人机协作的新特点。团队不仅要使用 AI 提高开发和文档效率，也要通过测试、评审和版本控制保证结果可靠，这对课程中的质量管理、风险管理和成本管理都有现实意义。</w:t>
      </w:r>
    </w:p>
    <w:p>
      <w:pPr>
        <w:pStyle w:val="BodyText"/>
      </w:pPr>
      <w:r>
        <w:t>从产品价值看，Workspace 和 Workbench 的分层设计解决了学习资料“长期沉淀”和学习任务“短期执行”之间的矛盾。Workspace 负责保存一门课的资料、知识块、学习目标、计划、画像、记忆和生成产物；Workbench 负责承载一次具体学习任务的资源、笔记、代码、AI 对话和多面板布局状态。这个设计使项目具备真实业务边界，也让后续资源计划、进度计划和质量计划有了具体管理对象。</w:t>
      </w:r>
    </w:p>
    <w:p>
      <w:pPr>
        <w:pStyle w:val="Heading2"/>
        <w:keepNext/>
      </w:pPr>
      <w:r>
        <w:t>三、市场预测</w:t>
      </w:r>
    </w:p>
    <w:p>
      <w:pPr>
        <w:pStyle w:val="BodyText"/>
      </w:pPr>
      <w:r>
        <w:t>从应用场景看，本项目面向高校学生、课程助教、竞赛展示和教学演示，需求稳定且明确。</w:t>
      </w:r>
    </w:p>
    <w:p>
      <w:pPr>
        <w:pStyle w:val="BodyText"/>
        <w:numPr>
          <w:ilvl w:val="0"/>
          <w:numId w:val="1"/>
        </w:numPr>
      </w:pPr>
      <w:r>
        <w:t>学生侧：课程学习、项目实践、复习备考、资料整理。</w:t>
      </w:r>
    </w:p>
    <w:p>
      <w:pPr>
        <w:pStyle w:val="BodyText"/>
        <w:numPr>
          <w:ilvl w:val="0"/>
          <w:numId w:val="1"/>
        </w:numPr>
      </w:pPr>
      <w:r>
        <w:t>教师侧：课程示范、作业组织、学习过程观察。</w:t>
      </w:r>
    </w:p>
    <w:p>
      <w:pPr>
        <w:pStyle w:val="BodyText"/>
        <w:numPr>
          <w:ilvl w:val="0"/>
          <w:numId w:val="1"/>
        </w:numPr>
      </w:pPr>
      <w:r>
        <w:t>竞赛侧：软件杯答辩展示、智能学习产品演示。</w:t>
      </w:r>
    </w:p>
    <w:p>
      <w:pPr>
        <w:pStyle w:val="BodyText"/>
      </w:pPr>
      <w:r>
        <w:t>从趋势看，AI 辅助学习和知识工作流整合正在持续增长，具备较好的推广空间。即便不作为独立商业产品，本项目也具有课程实验、竞赛作品和后续产品化的延展价值。</w:t>
      </w:r>
    </w:p>
    <w:p>
      <w:pPr>
        <w:pStyle w:val="BodyText"/>
      </w:pPr>
      <w:r>
        <w:t>高校学习场景具有持续性和重复性。每个学期都会产生新的课程资料、实验要求、复习任务和项目作业，学生需要一个能够长期沉淀资料和知识结构的工具。相比普通聊天机器人，本项目更强调课程空间、资料引用、知识图谱和学习计划，因此更适合承载连续学习过程。</w:t>
      </w:r>
    </w:p>
    <w:p>
      <w:pPr>
        <w:pStyle w:val="BodyText"/>
      </w:pPr>
      <w:r>
        <w:t>从潜在推广方式看，项目可先在课程小组、实验班或竞赛团队中试用，再逐步扩展到更多课程场景。早期不必追求完整商业化，而应优先验证核心价值：是否能帮助学生更快整理资料、理解知识关系、制定计划并生成复习资源。若后续产品化，可进一步考虑学校私有化部署、课程知识库模板和教师端管理能力。</w:t>
      </w:r>
    </w:p>
    <w:p>
      <w:pPr>
        <w:pStyle w:val="BodyText"/>
      </w:pPr>
      <w:r>
        <w:t>项目最适合先从“课程复习”和“项目实践”两个场景验证。课程复习场景可以展示资料上传、知识图谱、学习规划、闪卡复习和薄弱点分析；项目实践场景可以展示 Workbench 多面板、代码资料、AI 助手、生成报告和可视化讲解。两个场景都能体现系统不是孤立功能堆叠，而是围绕学习任务组织资源和智能能力。</w:t>
      </w:r>
    </w:p>
    <w:p>
      <w:pPr>
        <w:pStyle w:val="Heading2"/>
        <w:keepNext/>
      </w:pPr>
      <w:r>
        <w:t>四、项目规模和期限</w:t>
      </w:r>
    </w:p>
    <w:p>
      <w:pPr>
        <w:pStyle w:val="BodyText"/>
      </w:pPr>
      <w:r>
        <w:t>项目采用分阶段交付方式推进。</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阶段</w:t>
            </w:r>
          </w:p>
        </w:tc>
        <w:tc>
          <w:tcPr>
            <w:tcW w:w="2300" w:type="dxa"/>
            <w:shd w:fill="F2F4F7"/>
            <w:vAlign w:val="center"/>
          </w:tcPr>
          <w:p>
            <w:pPr>
              <w:pStyle w:val="TableText"/>
              <w:spacing w:after="0"/>
            </w:pPr>
            <w:r>
              <w:rPr>
                <w:b/>
              </w:rPr>
              <w:t>主要内容</w:t>
            </w:r>
          </w:p>
        </w:tc>
        <w:tc>
          <w:tcPr>
            <w:tcW w:w="4860" w:type="dxa"/>
            <w:shd w:fill="F2F4F7"/>
            <w:vAlign w:val="center"/>
          </w:tcPr>
          <w:p>
            <w:pPr>
              <w:pStyle w:val="TableText"/>
              <w:spacing w:after="0"/>
            </w:pPr>
            <w:r>
              <w:rPr>
                <w:b/>
              </w:rPr>
              <w:t>时间</w:t>
            </w:r>
          </w:p>
        </w:tc>
      </w:tr>
      <w:tr>
        <w:tc>
          <w:tcPr>
            <w:tcW w:w="2200" w:type="dxa"/>
            <w:vAlign w:val="center"/>
          </w:tcPr>
          <w:p>
            <w:pPr>
              <w:pStyle w:val="TableText"/>
              <w:spacing w:after="0"/>
            </w:pPr>
            <w:r>
              <w:t>启动</w:t>
            </w:r>
          </w:p>
        </w:tc>
        <w:tc>
          <w:tcPr>
            <w:tcW w:w="2300" w:type="dxa"/>
            <w:vAlign w:val="center"/>
          </w:tcPr>
          <w:p>
            <w:pPr>
              <w:pStyle w:val="TableText"/>
              <w:spacing w:after="0"/>
            </w:pPr>
            <w:r>
              <w:t>需求梳理、范围裁剪、任务分解</w:t>
            </w:r>
          </w:p>
        </w:tc>
        <w:tc>
          <w:tcPr>
            <w:tcW w:w="4860" w:type="dxa"/>
            <w:vAlign w:val="center"/>
          </w:tcPr>
          <w:p>
            <w:pPr>
              <w:pStyle w:val="TableText"/>
              <w:spacing w:after="0"/>
            </w:pPr>
            <w:r>
              <w:t>2026-03-01 至 2026-03-10</w:t>
            </w:r>
          </w:p>
        </w:tc>
      </w:tr>
      <w:tr>
        <w:tc>
          <w:tcPr>
            <w:tcW w:w="2200" w:type="dxa"/>
            <w:vAlign w:val="center"/>
          </w:tcPr>
          <w:p>
            <w:pPr>
              <w:pStyle w:val="TableText"/>
              <w:spacing w:after="0"/>
            </w:pPr>
            <w:r>
              <w:t>核心功能</w:t>
            </w:r>
          </w:p>
        </w:tc>
        <w:tc>
          <w:tcPr>
            <w:tcW w:w="2300" w:type="dxa"/>
            <w:vAlign w:val="center"/>
          </w:tcPr>
          <w:p>
            <w:pPr>
              <w:pStyle w:val="TableText"/>
              <w:spacing w:after="0"/>
            </w:pPr>
            <w:r>
              <w:t>Workspace、Workbench、资料库、认证与基础路由</w:t>
            </w:r>
          </w:p>
        </w:tc>
        <w:tc>
          <w:tcPr>
            <w:tcW w:w="4860" w:type="dxa"/>
            <w:vAlign w:val="center"/>
          </w:tcPr>
          <w:p>
            <w:pPr>
              <w:pStyle w:val="TableText"/>
              <w:spacing w:after="0"/>
            </w:pPr>
            <w:r>
              <w:t>2026-03-11 至 2026-04-15</w:t>
            </w:r>
          </w:p>
        </w:tc>
      </w:tr>
      <w:tr>
        <w:tc>
          <w:tcPr>
            <w:tcW w:w="2200" w:type="dxa"/>
            <w:vAlign w:val="center"/>
          </w:tcPr>
          <w:p>
            <w:pPr>
              <w:pStyle w:val="TableText"/>
              <w:spacing w:after="0"/>
            </w:pPr>
            <w:r>
              <w:t>智能能力</w:t>
            </w:r>
          </w:p>
        </w:tc>
        <w:tc>
          <w:tcPr>
            <w:tcW w:w="2300" w:type="dxa"/>
            <w:vAlign w:val="center"/>
          </w:tcPr>
          <w:p>
            <w:pPr>
              <w:pStyle w:val="TableText"/>
              <w:spacing w:after="0"/>
            </w:pPr>
            <w:r>
              <w:t>AI Terminal、检索、知识图谱、学习规划</w:t>
            </w:r>
          </w:p>
        </w:tc>
        <w:tc>
          <w:tcPr>
            <w:tcW w:w="4860" w:type="dxa"/>
            <w:vAlign w:val="center"/>
          </w:tcPr>
          <w:p>
            <w:pPr>
              <w:pStyle w:val="TableText"/>
              <w:spacing w:after="0"/>
            </w:pPr>
            <w:r>
              <w:t>2026-04-16 至 2026-05-20</w:t>
            </w:r>
          </w:p>
        </w:tc>
      </w:tr>
      <w:tr>
        <w:tc>
          <w:tcPr>
            <w:tcW w:w="2200" w:type="dxa"/>
            <w:vAlign w:val="center"/>
          </w:tcPr>
          <w:p>
            <w:pPr>
              <w:pStyle w:val="TableText"/>
              <w:spacing w:after="0"/>
            </w:pPr>
            <w:r>
              <w:t>强化阶段</w:t>
            </w:r>
          </w:p>
        </w:tc>
        <w:tc>
          <w:tcPr>
            <w:tcW w:w="2300" w:type="dxa"/>
            <w:vAlign w:val="center"/>
          </w:tcPr>
          <w:p>
            <w:pPr>
              <w:pStyle w:val="TableText"/>
              <w:spacing w:after="0"/>
            </w:pPr>
            <w:r>
              <w:t>学习画像、AI Studio、多模态分析、Agent 迭代</w:t>
            </w:r>
          </w:p>
        </w:tc>
        <w:tc>
          <w:tcPr>
            <w:tcW w:w="4860" w:type="dxa"/>
            <w:vAlign w:val="center"/>
          </w:tcPr>
          <w:p>
            <w:pPr>
              <w:pStyle w:val="TableText"/>
              <w:spacing w:after="0"/>
            </w:pPr>
            <w:r>
              <w:t>2026-05-21 至 2026-06-10</w:t>
            </w:r>
          </w:p>
        </w:tc>
      </w:tr>
      <w:tr>
        <w:tc>
          <w:tcPr>
            <w:tcW w:w="2200" w:type="dxa"/>
            <w:vAlign w:val="center"/>
          </w:tcPr>
          <w:p>
            <w:pPr>
              <w:pStyle w:val="TableText"/>
              <w:spacing w:after="0"/>
            </w:pPr>
            <w:r>
              <w:t>收尾</w:t>
            </w:r>
          </w:p>
        </w:tc>
        <w:tc>
          <w:tcPr>
            <w:tcW w:w="2300" w:type="dxa"/>
            <w:vAlign w:val="center"/>
          </w:tcPr>
          <w:p>
            <w:pPr>
              <w:pStyle w:val="TableText"/>
              <w:spacing w:after="0"/>
            </w:pPr>
            <w:r>
              <w:t>文档、测试、答辩材料、课程报告</w:t>
            </w:r>
          </w:p>
        </w:tc>
        <w:tc>
          <w:tcPr>
            <w:tcW w:w="4860" w:type="dxa"/>
            <w:vAlign w:val="center"/>
          </w:tcPr>
          <w:p>
            <w:pPr>
              <w:pStyle w:val="TableText"/>
              <w:spacing w:after="0"/>
            </w:pPr>
            <w:r>
              <w:t>2026-06-11 至 2026-06-17</w:t>
            </w:r>
          </w:p>
        </w:tc>
      </w:tr>
    </w:tbl>
    <w:p>
      <w:pPr>
        <w:pStyle w:val="BodyText"/>
        <w:spacing w:after="80"/>
      </w:pPr>
    </w:p>
    <w:p>
      <w:pPr>
        <w:pStyle w:val="BodyText"/>
      </w:pPr>
      <w:r>
        <w:t>项目规模属于中等偏大的课程原型系统。它既包含账号、权限、页面路由、资料管理等基础功能，也包含 AI Terminal、知识图谱、学习画像和多模态分析等智能扩展功能。为了保证可交付，项目建设应采用分层策略：基础主流程必须完成，智能能力按优先级接入，复杂增强项在不影响演示的前提下逐步完善。</w:t>
      </w:r>
    </w:p>
    <w:p>
      <w:pPr>
        <w:pStyle w:val="BodyText"/>
      </w:pPr>
      <w:r>
        <w:t>从期限安排看，2026 年 3 月到 6 月的周期能够覆盖需求分析、架构搭建、核心开发、智能能力整合和课程报告收尾。由于 6 月中旬存在课程提交和答辩压力，后期必须设置冻结期，避免在最后一周继续大规模新增功能。</w:t>
      </w:r>
    </w:p>
    <w:p>
      <w:pPr>
        <w:pStyle w:val="Heading2"/>
        <w:keepNext/>
      </w:pPr>
      <w:r>
        <w:t>五、项目建设条件</w:t>
      </w:r>
    </w:p>
    <w:p>
      <w:pPr>
        <w:pStyle w:val="Heading3"/>
        <w:keepNext/>
      </w:pPr>
      <w:r>
        <w:t>已具备条件</w:t>
      </w:r>
    </w:p>
    <w:p>
      <w:pPr>
        <w:pStyle w:val="BodyText"/>
        <w:numPr>
          <w:ilvl w:val="0"/>
          <w:numId w:val="1"/>
        </w:numPr>
      </w:pPr>
      <w:r>
        <w:t>前端采用 React、TypeScript、Vite 和 Zustand，基础界面框架已成型。</w:t>
      </w:r>
    </w:p>
    <w:p>
      <w:pPr>
        <w:pStyle w:val="BodyText"/>
        <w:numPr>
          <w:ilvl w:val="0"/>
          <w:numId w:val="1"/>
        </w:numPr>
      </w:pPr>
      <w:r>
        <w:t>后端采用 Node.js、Express、Prisma 和 SQLite，具备清晰的数据建模入口。</w:t>
      </w:r>
    </w:p>
    <w:p>
      <w:pPr>
        <w:pStyle w:val="BodyText"/>
        <w:numPr>
          <w:ilvl w:val="0"/>
          <w:numId w:val="1"/>
        </w:numPr>
      </w:pPr>
      <w:r>
        <w:t>已形成系统功能说明、课题背景、需求分析、设计文档等一批支撑材料。</w:t>
      </w:r>
    </w:p>
    <w:p>
      <w:pPr>
        <w:pStyle w:val="BodyText"/>
        <w:numPr>
          <w:ilvl w:val="0"/>
          <w:numId w:val="1"/>
        </w:numPr>
      </w:pPr>
      <w:r>
        <w:t>项目中已出现知识检索、课程图谱、学习规划、AI Studio、音视频分析等能力点。</w:t>
      </w:r>
    </w:p>
    <w:p>
      <w:pPr>
        <w:pStyle w:val="BodyText"/>
        <w:numPr>
          <w:ilvl w:val="0"/>
          <w:numId w:val="1"/>
        </w:numPr>
      </w:pPr>
      <w:r>
        <w:t>团队已形成 3 人分工模式，分别覆盖全栈开发、运维测试、需求研究与论文方向指导。</w:t>
      </w:r>
    </w:p>
    <w:p>
      <w:pPr>
        <w:pStyle w:val="BodyText"/>
        <w:numPr>
          <w:ilvl w:val="0"/>
          <w:numId w:val="1"/>
        </w:numPr>
      </w:pPr>
      <w:r>
        <w:t>项目已具备 Codex 类 AI 辅助开发条件，可提升代码修改、文档整理和问题定位效率。</w:t>
      </w:r>
    </w:p>
    <w:p>
      <w:pPr>
        <w:pStyle w:val="Heading3"/>
        <w:keepNext/>
      </w:pPr>
      <w:r>
        <w:t>尚需补强条件</w:t>
      </w:r>
    </w:p>
    <w:p>
      <w:pPr>
        <w:pStyle w:val="BodyText"/>
        <w:numPr>
          <w:ilvl w:val="0"/>
          <w:numId w:val="1"/>
        </w:numPr>
      </w:pPr>
      <w:r>
        <w:t>统一文档口径与课程报告模板。</w:t>
      </w:r>
    </w:p>
    <w:p>
      <w:pPr>
        <w:pStyle w:val="BodyText"/>
        <w:numPr>
          <w:ilvl w:val="0"/>
          <w:numId w:val="1"/>
        </w:numPr>
      </w:pPr>
      <w:r>
        <w:t>更完整的测试回归记录。</w:t>
      </w:r>
    </w:p>
    <w:p>
      <w:pPr>
        <w:pStyle w:val="BodyText"/>
        <w:numPr>
          <w:ilvl w:val="0"/>
          <w:numId w:val="1"/>
        </w:numPr>
      </w:pPr>
      <w:r>
        <w:t>更稳定的部署环境与外部模型/检索服务配置。</w:t>
      </w:r>
    </w:p>
    <w:p>
      <w:pPr>
        <w:pStyle w:val="BodyText"/>
        <w:numPr>
          <w:ilvl w:val="0"/>
          <w:numId w:val="1"/>
        </w:numPr>
      </w:pPr>
      <w:r>
        <w:t>面向答辩的演示脚本和数据样例。</w:t>
      </w:r>
    </w:p>
    <w:p>
      <w:pPr>
        <w:pStyle w:val="BodyText"/>
        <w:numPr>
          <w:ilvl w:val="0"/>
          <w:numId w:val="1"/>
        </w:numPr>
      </w:pPr>
      <w:r>
        <w:t>阿里云数据库、服务机部署和本地备用环境之间的配置说明。</w:t>
      </w:r>
    </w:p>
    <w:p>
      <w:pPr>
        <w:pStyle w:val="BodyText"/>
        <w:numPr>
          <w:ilvl w:val="0"/>
          <w:numId w:val="1"/>
        </w:numPr>
      </w:pPr>
      <w:r>
        <w:t>对 AI 生成代码和报告内容的复核流程。</w:t>
      </w:r>
    </w:p>
    <w:p>
      <w:pPr>
        <w:pStyle w:val="Heading2"/>
        <w:keepNext/>
      </w:pPr>
      <w:r>
        <w:t>六、投资估算和资金筹措设想</w:t>
      </w:r>
    </w:p>
    <w:p>
      <w:pPr>
        <w:pStyle w:val="BodyText"/>
      </w:pPr>
      <w:r>
        <w:t>项目以课程作业和软件杯参赛为主，资金投入以人力时间、开发环境和少量服务成本为主。</w:t>
      </w:r>
    </w:p>
    <w:p>
      <w:pPr>
        <w:pStyle w:val="BodyText"/>
        <w:numPr>
          <w:ilvl w:val="0"/>
          <w:numId w:val="1"/>
        </w:numPr>
      </w:pPr>
      <w:r>
        <w:t>人力投入：核心开发、测试、文档整理与演示准备。</w:t>
      </w:r>
    </w:p>
    <w:p>
      <w:pPr>
        <w:pStyle w:val="BodyText"/>
        <w:numPr>
          <w:ilvl w:val="0"/>
          <w:numId w:val="1"/>
        </w:numPr>
      </w:pPr>
      <w:r>
        <w:t>工具投入：本地开发机、浏览器、数据库、版本管理工具。</w:t>
      </w:r>
    </w:p>
    <w:p>
      <w:pPr>
        <w:pStyle w:val="BodyText"/>
        <w:numPr>
          <w:ilvl w:val="0"/>
          <w:numId w:val="1"/>
        </w:numPr>
      </w:pPr>
      <w:r>
        <w:t>服务投入：可能涉及模型接口、向量检索、渲染或云服务。</w:t>
      </w:r>
    </w:p>
    <w:p>
      <w:pPr>
        <w:pStyle w:val="BodyText"/>
      </w:pPr>
      <w:r>
        <w:t>资金筹措以团队自有资源为主，若后续进入更完整的产品化阶段，可再考虑校内项目支持或竞赛经费。</w:t>
      </w:r>
    </w:p>
    <w:p>
      <w:pPr>
        <w:pStyle w:val="BodyText"/>
      </w:pPr>
      <w:r>
        <w:t>在真实现金支出口径下，本项目主要费用包括 Codex 类大模型辅助开发产品、模型调用额度、服务机或云服务器部署、阿里云数据库和少量演示材料。由于团队复用个人开发设备，且项目以原型和课程演示为主，现金支出可以控制在 1500 元以内。若按照课程项目管理方法折算人力、设备和服务成本，则预算会更高，该部分主要用于衡量项目规模和资源占用。</w:t>
      </w:r>
    </w:p>
    <w:p>
      <w:pPr>
        <w:pStyle w:val="BodyText"/>
      </w:pPr>
      <w:r>
        <w:t>资金使用顺序应优先保障核心交付：第一是稳定的开发和部署环境，第二是必要的 AI 辅助开发和模型服务，第三是答辩演示材料。对于暂时不影响核心流程的增强功能，不应投入过多额外费用。</w:t>
      </w:r>
    </w:p>
    <w:p>
      <w:pPr>
        <w:pStyle w:val="Heading2"/>
        <w:keepNext/>
      </w:pPr>
      <w:r>
        <w:t>七、市场前景及经济效益初步分析</w:t>
      </w:r>
    </w:p>
    <w:p>
      <w:pPr>
        <w:pStyle w:val="BodyText"/>
      </w:pPr>
      <w:r>
        <w:t>本项目的直接经济回报不是主要目标，但具有明确的教育收益和可复用价值。</w:t>
      </w:r>
    </w:p>
    <w:p>
      <w:pPr>
        <w:pStyle w:val="BodyText"/>
        <w:numPr>
          <w:ilvl w:val="0"/>
          <w:numId w:val="1"/>
        </w:numPr>
      </w:pPr>
      <w:r>
        <w:t>可作为课程作业、毕设选题、软件杯答辩作品复用。</w:t>
      </w:r>
    </w:p>
    <w:p>
      <w:pPr>
        <w:pStyle w:val="BodyText"/>
        <w:numPr>
          <w:ilvl w:val="0"/>
          <w:numId w:val="1"/>
        </w:numPr>
      </w:pPr>
      <w:r>
        <w:t>可沉淀为高校学习助手、课程知识库、学习规划工具的原型。</w:t>
      </w:r>
    </w:p>
    <w:p>
      <w:pPr>
        <w:pStyle w:val="BodyText"/>
        <w:numPr>
          <w:ilvl w:val="0"/>
          <w:numId w:val="1"/>
        </w:numPr>
      </w:pPr>
      <w:r>
        <w:t>可减少重复整理资料与制作学习资源的时间成本。</w:t>
      </w:r>
    </w:p>
    <w:p>
      <w:pPr>
        <w:pStyle w:val="BodyText"/>
      </w:pPr>
      <w:r>
        <w:t>项目的经济效益可以从节省时间和提升复用价值两个方面理解。对学生而言，资料整理、知识点总结、复习卡片制作和学习计划拆分都需要大量重复劳动，平台若能把这些过程半自动化，就能降低学习成本。对团队而言，本项目产生的代码、文档、演示脚本和设计经验，可以继续用于竞赛优化、课程答辩、后续研究和项目展示。</w:t>
      </w:r>
    </w:p>
    <w:p>
      <w:pPr>
        <w:pStyle w:val="BodyText"/>
      </w:pPr>
      <w:r>
        <w:t>若未来进入产品化阶段，可围绕高校课程知识库、学生个人学习助手、教师课程资料管理和竞赛团队协作空间等方向探索应用。但在当前阶段，最重要的经济价值仍是用较低现金投入完成一个功能完整、可演示、可复盘的软件项目。</w:t>
      </w:r>
    </w:p>
    <w:p>
      <w:pPr>
        <w:pStyle w:val="Heading2"/>
        <w:keepNext/>
      </w:pPr>
      <w:r>
        <w:t>八、其他说明</w:t>
      </w:r>
    </w:p>
    <w:p>
      <w:pPr>
        <w:pStyle w:val="BodyText"/>
      </w:pPr>
      <w:r>
        <w:t>项目建议采用“先课程可交付，再逐步产品化”的策略，优先保证范围清晰、功能闭环和文档一致性。对于软件项目管理课程而言，本项目具备足够完整的管理对象，可覆盖建议书、可行性分析、资源计划、进度计划、成本计划、风险计划、质量计划、估算报告、质量管理报告、风险管理报告和总结报告等 11 份文档。</w:t>
      </w:r>
    </w:p>
    <w:p>
      <w:pPr>
        <w:pStyle w:val="BodyText"/>
      </w:pPr>
      <w:r>
        <w:t>本建议书的作用是明确项目是否值得启动，以及后续计划文档应围绕哪些内容展开。根据当前条件，项目具备启动基础，但必须在推进过程中坚持范围控制。课程报告应以真实项目为依据，不宜脱离现有功能空泛扩写；项目开发也应反过来参考管理报告中的范围、进度、成本、风险和质量要求，形成文档与实践的闭环。</w:t>
      </w:r>
    </w:p>
    <w:p>
      <w:pPr>
        <w:pStyle w:val="Heading1"/>
        <w:pageBreakBefore/>
        <w:keepNext/>
      </w:pPr>
      <w:r>
        <w:t>02 可行性分析报告</w:t>
      </w:r>
    </w:p>
    <w:p>
      <w:pPr>
        <w:pStyle w:val="Heading2"/>
        <w:keepNext/>
      </w:pPr>
      <w:r>
        <w:t>一、项目需求分析概况</w:t>
      </w:r>
    </w:p>
    <w:p>
      <w:pPr>
        <w:pStyle w:val="BodyText"/>
      </w:pPr>
      <w:r>
        <w:t>本项目面向大学生学习全流程，核心需求是把课程空间、学习现场、资料库、知识图谱、AI 对话、学习计划、学习画像和资源生成组织成一个连贯系统。数据库与业务层需要支持用户隔离、资料复用、过程记录、智能问答和结果追踪。</w:t>
      </w:r>
    </w:p>
    <w:p>
      <w:pPr>
        <w:pStyle w:val="BodyText"/>
      </w:pPr>
      <w:r>
        <w:t>从使用场景看，学生在一门课程中往往会同时面对课件、论文、实验任务、课堂笔记、复习计划和项目实践材料。如果这些资料分散在聊天记录、网盘、浏览器收藏和本地文件夹中，学习过程就很难被持续记录，也很难形成可复用的知识结构。因此，本项目不仅要实现单点功能，还要把学习任务、资源组织、智能辅助和阶段反馈放在同一个工作空间中，使用户能够围绕课程目标持续推进。</w:t>
      </w:r>
    </w:p>
    <w:p>
      <w:pPr>
        <w:pStyle w:val="BodyText"/>
      </w:pPr>
      <w:r>
        <w:t>从管理角度看，该项目需求具有明显的软件工程特征：既包含前端交互、后端接口和数据库模型，也包含大模型工具调用、资料检索、知识图谱生成和多模态分析等智能能力。需求之间存在前后依赖，例如资料库是知识图谱和 AI 问答的基础，用户画像又依赖学习过程记录。因此，可行性分析需要同时考虑技术成熟度、团队组织方式、成本边界、部署环境和课程提交节点。</w:t>
      </w:r>
    </w:p>
    <w:p>
      <w:pPr>
        <w:pStyle w:val="BodyText"/>
      </w:pPr>
      <w:r>
        <w:t>本项目的需求不是抽象地“做一个 AI 学习平台”，而是围绕一条具体用户路径展开：登录系统、创建 Workspace、添加资料、在 AI Terminal 中提出目标、生成或进入 Workbench、在多面板工作区完成学习、把生成物保存回资料库，并通过知识图谱、Planning、Profile 和 Intelligence 标签页查看学习状态。只要这条路径能稳定运行，项目就具备基本可用性；AI Studio、多模态分析、闪卡和 Agent V2 则在此基础上增强系统表现力。</w:t>
      </w:r>
    </w:p>
    <w:p>
      <w:pPr>
        <w:pStyle w:val="Heading2"/>
        <w:keepNext/>
      </w:pPr>
      <w:r>
        <w:t>二、可行性要素分析</w:t>
      </w:r>
    </w:p>
    <w:p>
      <w:pPr>
        <w:pStyle w:val="Heading3"/>
        <w:keepNext/>
      </w:pPr>
      <w:r>
        <w:t>1. 技术可行性</w:t>
      </w:r>
    </w:p>
    <w:p>
      <w:pPr>
        <w:pStyle w:val="BodyText"/>
      </w:pPr>
      <w:r>
        <w:t>项目技术栈已经明确，前端、后端和数据库都采用成熟方案，且项目中已有相应工程代码和设计文档。</w:t>
      </w:r>
    </w:p>
    <w:p>
      <w:pPr>
        <w:pStyle w:val="BodyText"/>
        <w:numPr>
          <w:ilvl w:val="0"/>
          <w:numId w:val="1"/>
        </w:numPr>
      </w:pPr>
      <w:r>
        <w:t>前端：React + TypeScript + Vite。</w:t>
      </w:r>
    </w:p>
    <w:p>
      <w:pPr>
        <w:pStyle w:val="BodyText"/>
        <w:numPr>
          <w:ilvl w:val="0"/>
          <w:numId w:val="1"/>
        </w:numPr>
      </w:pPr>
      <w:r>
        <w:t>后端：Node.js + Express。</w:t>
      </w:r>
    </w:p>
    <w:p>
      <w:pPr>
        <w:pStyle w:val="BodyText"/>
        <w:numPr>
          <w:ilvl w:val="0"/>
          <w:numId w:val="1"/>
        </w:numPr>
      </w:pPr>
      <w:r>
        <w:t>数据层：Prisma + SQLite，本地开发简单，迁移成本低。</w:t>
      </w:r>
    </w:p>
    <w:p>
      <w:pPr>
        <w:pStyle w:val="BodyText"/>
        <w:numPr>
          <w:ilvl w:val="0"/>
          <w:numId w:val="1"/>
        </w:numPr>
      </w:pPr>
      <w:r>
        <w:t>智能能力：现有设计已覆盖检索、图谱、规划、Agent 和多模态处理。</w:t>
      </w:r>
    </w:p>
    <w:p>
      <w:pPr>
        <w:pStyle w:val="BodyText"/>
      </w:pPr>
      <w:r>
        <w:t>因此，从技术栈成熟度和可实现性看，项目可行。</w:t>
      </w:r>
    </w:p>
    <w:p>
      <w:pPr>
        <w:pStyle w:val="BodyText"/>
      </w:pPr>
      <w:r>
        <w:t>React、TypeScript 和 Vite 适合快速构建复杂交互界面，能够支撑课程空间、工作台、资料列表、图谱视图和 AI 对话等多种页面形态。Node.js 与 Express 便于搭建轻量后端服务，Prisma 能统一管理数据模型和迁移过程，降低数据库结构变动带来的维护成本。对于智能能力部分，项目采用大模型驱动的 Codex 类开发与辅助实现方式，可以提升原型搭建、代码修改和文档整理效率，但仍需要通过测试和评审保证生成内容与项目需求一致。</w:t>
      </w:r>
    </w:p>
    <w:p>
      <w:pPr>
        <w:pStyle w:val="BodyText"/>
      </w:pPr>
      <w:r>
        <w:t>从已有实现看，系统并不是只停留在概念阶段。前端已经围绕 Workspace Shell、WorkbenchPage、LearningTerminal、AddSourcesDialog、AIStudioPanel 等核心界面组织用户操作；后端已经围绕 workspace、workbench、file、learning、studio 等路由和服务组织业务能力；数据库模型中也包含 Workspace、Workbench、FileSystemObject、LearningGoal、LearningPlan、LearningEvent、KnowledgeChunk、CourseKnowledgeConcept、SavedMemory、StudioArtifact、Flashcard 等对象。这些实现基础说明项目技术可行性较强。</w:t>
      </w:r>
    </w:p>
    <w:p>
      <w:pPr>
        <w:pStyle w:val="Heading3"/>
        <w:keepNext/>
      </w:pPr>
      <w:r>
        <w:t>2. 经济可行性</w:t>
      </w:r>
    </w:p>
    <w:p>
      <w:pPr>
        <w:pStyle w:val="BodyText"/>
      </w:pPr>
      <w:r>
        <w:t>项目以课程项目和竞赛作品为主，成本主要来自开发时间、大模型辅助开发工具、少量算力和部署服务，不需要采购专用硬件或建设复杂机房环境。实际投入中，主要金钱成本集中在购买大模型驱动的 Codex 类产品、模型调用额度，以及产品在服务机或云服务器上的部署费用。按照课程项目和演示原型的规模估计，这部分现金支出可以控制在 1500 元以内。</w:t>
      </w:r>
    </w:p>
    <w:p>
      <w:pPr>
        <w:pStyle w:val="BodyText"/>
      </w:pPr>
      <w:r>
        <w:t>从收益角度看，项目并不以短期商业变现为主要目标，而是以课程交付、竞赛展示和能力沉淀为核心价值。项目可以复用到软件杯答辩、课程实践、学习工具原型和后续论文/项目申报材料中，因此投入产出比是可接受的。若将团队成员的学习时间和开发时间也折算为成本，则应在成本计划中单独列出课程估算口径，避免与真实现金支出混淆。</w:t>
      </w:r>
    </w:p>
    <w:p>
      <w:pPr>
        <w:pStyle w:val="Heading3"/>
        <w:keepNext/>
      </w:pPr>
      <w:r>
        <w:t>3. 进度可行性</w:t>
      </w:r>
    </w:p>
    <w:p>
      <w:pPr>
        <w:pStyle w:val="BodyText"/>
      </w:pPr>
      <w:r>
        <w:t>当前项目已经完成了基础架构、功能说明和部分高级设计，说明主体工作不是从零开始。只要保持阶段交付和范围控制，在课程节点前完成报告和演示是可行的。</w:t>
      </w:r>
    </w:p>
    <w:p>
      <w:pPr>
        <w:pStyle w:val="BodyText"/>
      </w:pPr>
      <w:r>
        <w:t>项目进度采用分阶段推进方式，先完成需求梳理、范围裁剪和基础架构，再实现课程空间、学习现场、资料库等主流程，最后接入知识图谱、学习规划、AI Terminal、多模态分析等增强能力。由于课程报告和软件杯材料可以共享同一套项目背景、模块划分和时间线，文档工作不会完全从零开始，进度风险主要来自后期需求扩张和演示环境不稳定。</w:t>
      </w:r>
    </w:p>
    <w:p>
      <w:pPr>
        <w:pStyle w:val="Heading3"/>
        <w:keepNext/>
      </w:pPr>
      <w:r>
        <w:t>4. 组织可行性</w:t>
      </w:r>
    </w:p>
    <w:p>
      <w:pPr>
        <w:pStyle w:val="BodyText"/>
      </w:pPr>
      <w:r>
        <w:t>本项目实际采用 3 人组织方式推进。团队中一人负责全栈开发，覆盖前端页面、后端接口、数据库模型和主要工程实现；一人负责运营维护、测试、演示环境和部署检查；一人负责需求分析、开源项目调研、竞品与论文资料查找，并提供高层次技术路线和论文方向指导。</w:t>
      </w:r>
    </w:p>
    <w:p>
      <w:pPr>
        <w:pStyle w:val="BodyText"/>
      </w:pPr>
      <w:r>
        <w:t>这种组织方式人数较少，但沟通链路短，决策效率高，适合课程项目和竞赛原型快速迭代。为了避免职责过度集中，项目需要明确每个人的交付物：全栈开发人员保证核心功能可运行，运维测试人员保证环境稳定和问题可复现，需求与研究人员保证功能方向与赛题、课程要求一致。只要保持任务清单和版本记录，3 人团队能够支撑当前项目范围。</w:t>
      </w:r>
    </w:p>
    <w:p>
      <w:pPr>
        <w:pStyle w:val="Heading3"/>
        <w:keepNext/>
      </w:pPr>
      <w:r>
        <w:t>5. 运维可行性</w:t>
      </w:r>
    </w:p>
    <w:p>
      <w:pPr>
        <w:pStyle w:val="BodyText"/>
      </w:pPr>
      <w:r>
        <w:t>系统可在本地开发环境和轻量云服务器环境中运行。项目早期使用 SQLite 便于快速开发和本地演示，后续已经迁移到阿里云数据库，以提升远程访问、数据持久化和部署稳定性。阿里云数据库能够更好地支撑多人访问和正式演示，也便于后续进行备份、权限配置和环境隔离。</w:t>
      </w:r>
    </w:p>
    <w:p>
      <w:pPr>
        <w:pStyle w:val="BodyText"/>
      </w:pPr>
      <w:r>
        <w:t>运维方面，本项目需要关注端口配置、环境变量、数据库连接、模型服务额度和演示数据准备。由于课程答辩和软件杯展示都强调可演示性，因此应保留本地最小运行方案和云端部署方案两套路径。一旦云数据库或外部模型接口出现异常，可以通过备用数据、静态截图或降级演示保证交付。</w:t>
      </w:r>
    </w:p>
    <w:p>
      <w:pPr>
        <w:pStyle w:val="Heading3"/>
        <w:keepNext/>
      </w:pPr>
      <w:r>
        <w:t>6. 安全与合规可行性</w:t>
      </w:r>
    </w:p>
    <w:p>
      <w:pPr>
        <w:pStyle w:val="BodyText"/>
      </w:pPr>
      <w:r>
        <w:t>系统涉及用户数据、学习资料和对话记录，必须保证访问隔离、会话安全和内容可追溯。现有架构已经具备认证、权限与数据归属分层，合规风险可控。</w:t>
      </w:r>
    </w:p>
    <w:p>
      <w:pPr>
        <w:pStyle w:val="BodyText"/>
      </w:pPr>
      <w:r>
        <w:t>在课程项目阶段，安全目标主要是防止跨用户数据访问、避免敏感配置暴露、保证演示账号与真实账号隔离。对于用户上传资料和 AI 对话内容，应在报告和演示中避免使用真实隐私数据，尽量使用课程样例、公开资料或脱敏内容。后续若产品化，还需要进一步补充日志审计、权限分级、数据备份和内容安全策略。</w:t>
      </w:r>
    </w:p>
    <w:p>
      <w:pPr>
        <w:pStyle w:val="Heading2"/>
        <w:keepNext/>
      </w:pPr>
      <w:r>
        <w:t>三、项目设计方案</w:t>
      </w:r>
    </w:p>
    <w:p>
      <w:pPr>
        <w:pStyle w:val="BodyText"/>
      </w:pPr>
      <w:r>
        <w:t>建议采用“课程空间 + 学习现场 + 资料资源 + 智能能力”的四层组织方式。</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层次</w:t>
            </w:r>
          </w:p>
        </w:tc>
        <w:tc>
          <w:tcPr>
            <w:tcW w:w="6760" w:type="dxa"/>
            <w:shd w:fill="F2F4F7"/>
            <w:vAlign w:val="center"/>
          </w:tcPr>
          <w:p>
            <w:pPr>
              <w:pStyle w:val="TableText"/>
              <w:spacing w:after="0"/>
            </w:pPr>
            <w:r>
              <w:rPr>
                <w:b/>
              </w:rPr>
              <w:t>作用</w:t>
            </w:r>
          </w:p>
        </w:tc>
      </w:tr>
      <w:tr>
        <w:tc>
          <w:tcPr>
            <w:tcW w:w="2600" w:type="dxa"/>
            <w:vAlign w:val="center"/>
          </w:tcPr>
          <w:p>
            <w:pPr>
              <w:pStyle w:val="TableText"/>
              <w:spacing w:after="0"/>
            </w:pPr>
            <w:r>
              <w:t>课程空间</w:t>
            </w:r>
          </w:p>
        </w:tc>
        <w:tc>
          <w:tcPr>
            <w:tcW w:w="6760" w:type="dxa"/>
            <w:vAlign w:val="center"/>
          </w:tcPr>
          <w:p>
            <w:pPr>
              <w:pStyle w:val="TableText"/>
              <w:spacing w:after="0"/>
            </w:pPr>
            <w:r>
              <w:t>作为整门课程或主题的总容器</w:t>
            </w:r>
          </w:p>
        </w:tc>
      </w:tr>
      <w:tr>
        <w:tc>
          <w:tcPr>
            <w:tcW w:w="2600" w:type="dxa"/>
            <w:vAlign w:val="center"/>
          </w:tcPr>
          <w:p>
            <w:pPr>
              <w:pStyle w:val="TableText"/>
              <w:spacing w:after="0"/>
            </w:pPr>
            <w:r>
              <w:t>学习现场</w:t>
            </w:r>
          </w:p>
        </w:tc>
        <w:tc>
          <w:tcPr>
            <w:tcW w:w="6760" w:type="dxa"/>
            <w:vAlign w:val="center"/>
          </w:tcPr>
          <w:p>
            <w:pPr>
              <w:pStyle w:val="TableText"/>
              <w:spacing w:after="0"/>
            </w:pPr>
            <w:r>
              <w:t>面向某个任务的具体工作区</w:t>
            </w:r>
          </w:p>
        </w:tc>
      </w:tr>
      <w:tr>
        <w:tc>
          <w:tcPr>
            <w:tcW w:w="2600" w:type="dxa"/>
            <w:vAlign w:val="center"/>
          </w:tcPr>
          <w:p>
            <w:pPr>
              <w:pStyle w:val="TableText"/>
              <w:spacing w:after="0"/>
            </w:pPr>
            <w:r>
              <w:t>资料资源</w:t>
            </w:r>
          </w:p>
        </w:tc>
        <w:tc>
          <w:tcPr>
            <w:tcW w:w="6760" w:type="dxa"/>
            <w:vAlign w:val="center"/>
          </w:tcPr>
          <w:p>
            <w:pPr>
              <w:pStyle w:val="TableText"/>
              <w:spacing w:after="0"/>
            </w:pPr>
            <w:r>
              <w:t>文件、网页、笔记、生成物和引用来源</w:t>
            </w:r>
          </w:p>
        </w:tc>
      </w:tr>
      <w:tr>
        <w:tc>
          <w:tcPr>
            <w:tcW w:w="2600" w:type="dxa"/>
            <w:vAlign w:val="center"/>
          </w:tcPr>
          <w:p>
            <w:pPr>
              <w:pStyle w:val="TableText"/>
              <w:spacing w:after="0"/>
            </w:pPr>
            <w:r>
              <w:t>智能能力</w:t>
            </w:r>
          </w:p>
        </w:tc>
        <w:tc>
          <w:tcPr>
            <w:tcW w:w="6760" w:type="dxa"/>
            <w:vAlign w:val="center"/>
          </w:tcPr>
          <w:p>
            <w:pPr>
              <w:pStyle w:val="TableText"/>
              <w:spacing w:after="0"/>
            </w:pPr>
            <w:r>
              <w:t>检索、图谱、规划、对话、生成、分析</w:t>
            </w:r>
          </w:p>
        </w:tc>
      </w:tr>
    </w:tbl>
    <w:p>
      <w:pPr>
        <w:pStyle w:val="BodyText"/>
        <w:spacing w:after="80"/>
      </w:pPr>
    </w:p>
    <w:p>
      <w:pPr>
        <w:pStyle w:val="BodyText"/>
      </w:pPr>
      <w:r>
        <w:t>这种方案能把业务边界、数据边界和管理边界统一起来，便于课程报告和后续开发同步推进。</w:t>
      </w:r>
    </w:p>
    <w:p>
      <w:pPr>
        <w:pStyle w:val="BodyText"/>
      </w:pPr>
      <w:r>
        <w:t>四层结构的优势在于既便于用户理解，也便于开发和管理。课程空间对应学习主题的长期容器，学习现场对应一次具体任务或学习活动，资料资源提供检索和生成的依据，智能能力则围绕资料与任务提供问答、总结、规划和分析。各层之间既有依赖，又能相对独立迭代，适合用作软件项目管理中的工作分解结构。</w:t>
      </w:r>
    </w:p>
    <w:p>
      <w:pPr>
        <w:pStyle w:val="BodyText"/>
      </w:pPr>
      <w:r>
        <w:t>在实际实现中，项目应优先保障“用户进入课程空间、创建学习现场、导入资料、调用智能能力、保存学习结果”这一条核心闭环。对于多模态分析、复杂 Agent 编排和高级可视化，可以作为增强功能逐步完善，不应影响主流程交付。</w:t>
      </w:r>
    </w:p>
    <w:p>
      <w:pPr>
        <w:pStyle w:val="BodyText"/>
      </w:pPr>
      <w:r>
        <w:t>因此，系统设计方案可以进一步落到以下业务映射：Workspace Shell 负责课程级导航和 Workbenches、Knowledge、Knowledge Graph、Planning、Profile、Intelligence、AI Terminal 等标签页；Workbench 负责具体学习任务中的资料预览、笔记、代码、AI 助手和 AI Studio 多面板协作；FileSystemObject 负责统一保存上传资料、网页来源、笔记和 AI 生成产物；知识索引和向量检索负责把资料变成可引用上下文；学习画像和事件记录负责让规划与反馈具备个性化依据。</w:t>
      </w:r>
    </w:p>
    <w:p>
      <w:pPr>
        <w:pStyle w:val="Heading2"/>
        <w:keepNext/>
      </w:pPr>
      <w:r>
        <w:t>四、人员配置和培训计划</w:t>
      </w:r>
    </w:p>
    <w:p>
      <w:pPr>
        <w:pStyle w:val="Heading3"/>
        <w:keepNext/>
      </w:pPr>
      <w:r>
        <w:t>人员配置</w:t>
      </w:r>
    </w:p>
    <w:p>
      <w:pPr>
        <w:pStyle w:val="BodyText"/>
        <w:numPr>
          <w:ilvl w:val="0"/>
          <w:numId w:val="1"/>
        </w:numPr>
      </w:pPr>
      <w:r>
        <w:t>全栈开发负责人：负责前端页面、后端接口、数据库模型、核心业务逻辑和主要功能联调。</w:t>
      </w:r>
    </w:p>
    <w:p>
      <w:pPr>
        <w:pStyle w:val="BodyText"/>
        <w:numPr>
          <w:ilvl w:val="0"/>
          <w:numId w:val="1"/>
        </w:numPr>
      </w:pPr>
      <w:r>
        <w:t>运维测试负责人：负责部署环境、数据库连接、测试验证、问题复现、演示数据和运行稳定性检查。</w:t>
      </w:r>
    </w:p>
    <w:p>
      <w:pPr>
        <w:pStyle w:val="BodyText"/>
        <w:numPr>
          <w:ilvl w:val="0"/>
          <w:numId w:val="1"/>
        </w:numPr>
      </w:pPr>
      <w:r>
        <w:t>需求与研究负责人：负责需求分析、开源项目调研、论文与技术路线参考、赛题理解和课程报告内容校对。</w:t>
      </w:r>
    </w:p>
    <w:p>
      <w:pPr>
        <w:pStyle w:val="BodyText"/>
        <w:numPr>
          <w:ilvl w:val="0"/>
          <w:numId w:val="1"/>
        </w:numPr>
      </w:pPr>
      <w:r>
        <w:t>项目统筹由三人共同承担，其中范围控制、节点检查和文档一致性需要在每个阶段进行同步确认。</w:t>
      </w:r>
    </w:p>
    <w:p>
      <w:pPr>
        <w:pStyle w:val="Heading3"/>
        <w:keepNext/>
      </w:pPr>
      <w:r>
        <w:t>培训计划</w:t>
      </w:r>
    </w:p>
    <w:p>
      <w:pPr>
        <w:pStyle w:val="BodyText"/>
        <w:numPr>
          <w:ilvl w:val="0"/>
          <w:numId w:val="1"/>
        </w:numPr>
      </w:pPr>
      <w:r>
        <w:t>Prisma 数据建模与迁移。</w:t>
      </w:r>
    </w:p>
    <w:p>
      <w:pPr>
        <w:pStyle w:val="BodyText"/>
        <w:numPr>
          <w:ilvl w:val="0"/>
          <w:numId w:val="1"/>
        </w:numPr>
      </w:pPr>
      <w:r>
        <w:t>课程空间与学习现场的业务边界。</w:t>
      </w:r>
    </w:p>
    <w:p>
      <w:pPr>
        <w:pStyle w:val="BodyText"/>
        <w:numPr>
          <w:ilvl w:val="0"/>
          <w:numId w:val="1"/>
        </w:numPr>
      </w:pPr>
      <w:r>
        <w:t>软件项目管理各文档之间的关联。</w:t>
      </w:r>
    </w:p>
    <w:p>
      <w:pPr>
        <w:pStyle w:val="BodyText"/>
        <w:numPr>
          <w:ilvl w:val="0"/>
          <w:numId w:val="1"/>
        </w:numPr>
      </w:pPr>
      <w:r>
        <w:t>Agent、检索和图谱的基础接口使用。</w:t>
      </w:r>
    </w:p>
    <w:p>
      <w:pPr>
        <w:pStyle w:val="BodyText"/>
        <w:numPr>
          <w:ilvl w:val="0"/>
          <w:numId w:val="1"/>
        </w:numPr>
      </w:pPr>
      <w:r>
        <w:t>Codex 类 AI 辅助开发工具的使用规范，包括任务拆分、代码审查、生成内容验证和文档润色。</w:t>
      </w:r>
    </w:p>
    <w:p>
      <w:pPr>
        <w:pStyle w:val="BodyText"/>
        <w:numPr>
          <w:ilvl w:val="0"/>
          <w:numId w:val="1"/>
        </w:numPr>
      </w:pPr>
      <w:r>
        <w:t>阿里云数据库连接、备份、权限配置和演示环境排查方法。</w:t>
      </w:r>
    </w:p>
    <w:p>
      <w:pPr>
        <w:pStyle w:val="BodyText"/>
      </w:pPr>
      <w:r>
        <w:t>培训方式以项目内分享和边做边学为主。由于团队规模较小，不适合安排过重的集中培训，而应把培训内容嵌入真实任务中，例如在数据库迁移时同步讲解 Prisma，在演示部署时同步讲解云数据库连接，在报告整理时同步讲解项目管理文档之间的对应关系。</w:t>
      </w:r>
    </w:p>
    <w:p>
      <w:pPr>
        <w:pStyle w:val="Heading2"/>
        <w:keepNext/>
      </w:pPr>
      <w:r>
        <w:t>五、项目主要风险</w:t>
      </w:r>
    </w:p>
    <w:p>
      <w:pPr>
        <w:pStyle w:val="BodyText"/>
        <w:numPr>
          <w:ilvl w:val="0"/>
          <w:numId w:val="2"/>
        </w:numPr>
      </w:pPr>
      <w:r>
        <w:t>需求范围不断扩大，导致报告与实现口径不一致。</w:t>
      </w:r>
    </w:p>
    <w:p>
      <w:pPr>
        <w:pStyle w:val="BodyText"/>
        <w:numPr>
          <w:ilvl w:val="0"/>
          <w:numId w:val="2"/>
        </w:numPr>
      </w:pPr>
      <w:r>
        <w:t>智能能力较多，容易出现依赖外部服务不稳定的问题。</w:t>
      </w:r>
    </w:p>
    <w:p>
      <w:pPr>
        <w:pStyle w:val="BodyText"/>
        <w:numPr>
          <w:ilvl w:val="0"/>
          <w:numId w:val="2"/>
        </w:numPr>
      </w:pPr>
      <w:r>
        <w:t>多模块并行开发时，数据结构和接口容易出现耦合。</w:t>
      </w:r>
    </w:p>
    <w:p>
      <w:pPr>
        <w:pStyle w:val="BodyText"/>
        <w:numPr>
          <w:ilvl w:val="0"/>
          <w:numId w:val="2"/>
        </w:numPr>
      </w:pPr>
      <w:r>
        <w:t>临近课程节点时，文档与演示准备时间不足。</w:t>
      </w:r>
    </w:p>
    <w:p>
      <w:pPr>
        <w:pStyle w:val="BodyText"/>
        <w:numPr>
          <w:ilvl w:val="0"/>
          <w:numId w:val="2"/>
        </w:numPr>
      </w:pPr>
      <w:r>
        <w:t>3 人团队中全栈开发任务较重，若关键人员时间受限，会影响整体进度。</w:t>
      </w:r>
    </w:p>
    <w:p>
      <w:pPr>
        <w:pStyle w:val="BodyText"/>
        <w:numPr>
          <w:ilvl w:val="0"/>
          <w:numId w:val="2"/>
        </w:numPr>
      </w:pPr>
      <w:r>
        <w:t>云数据库、模型服务和部署环境存在配置差异，可能导致本地可运行但线上演示异常。</w:t>
      </w:r>
    </w:p>
    <w:p>
      <w:pPr>
        <w:pStyle w:val="BodyText"/>
        <w:numPr>
          <w:ilvl w:val="0"/>
          <w:numId w:val="2"/>
        </w:numPr>
      </w:pPr>
      <w:r>
        <w:t>Codex 类工具可以提高效率，但生成内容仍需要人工审查，不能直接替代测试和设计判断。</w:t>
      </w:r>
    </w:p>
    <w:p>
      <w:pPr>
        <w:pStyle w:val="BodyText"/>
      </w:pPr>
      <w:r>
        <w:t>针对上述风险，项目应提前设定范围基线，明确必须交付的核心功能和可延期的扩展功能。智能能力要准备降级路径，数据库和部署环境要保留连接配置记录，课程报告应以当前真实实现为依据滚动更新。</w:t>
      </w:r>
    </w:p>
    <w:p>
      <w:pPr>
        <w:pStyle w:val="Heading2"/>
        <w:keepNext/>
      </w:pPr>
      <w:r>
        <w:t>六、结论和建议</w:t>
      </w:r>
    </w:p>
    <w:p>
      <w:pPr>
        <w:pStyle w:val="BodyText"/>
      </w:pPr>
      <w:r>
        <w:t>本项目在技术、经济、组织和进度上均具备实施条件，结论是可行。建议采取“核心功能优先、智能能力分层、文档同步推进”的策略，把软件项目管理作业与当前软件杯项目统一起来，避免两套材料相互脱节。</w:t>
      </w:r>
    </w:p>
    <w:p>
      <w:pPr>
        <w:pStyle w:val="BodyText"/>
      </w:pPr>
      <w:r>
        <w:t>综合分析可知，项目的最大优势是题目真实、功能边界清楚、技术栈成熟，并且已经具备一定工程基础；主要限制是团队规模较小、智能能力依赖外部服务、后期文档和演示工作量较大。因此，实施过程中不应盲目追求功能数量，而应围绕课程空间、学习现场、资料库和 AI 辅助学习主流程建立稳定闭环。</w:t>
      </w:r>
    </w:p>
    <w:p>
      <w:pPr>
        <w:pStyle w:val="BodyText"/>
      </w:pPr>
      <w:r>
        <w:t>建议在课程提交前完成三项收束工作：第一，确认所有报告中的项目名称、团队规模、成本口径、时间节点和模块划分一致；第二，准备本地与云端两套演示环境，并对阿里云数据库连接进行检查；第三，对 Codex 辅助生成或修改的代码和文档进行人工复核，确保内容准确、可解释、可答辩。</w:t>
      </w:r>
    </w:p>
    <w:p>
      <w:pPr>
        <w:pStyle w:val="Heading2"/>
        <w:keepNext/>
      </w:pPr>
      <w:r>
        <w:t>七、其他重要意见</w:t>
      </w:r>
    </w:p>
    <w:p>
      <w:pPr>
        <w:pStyle w:val="BodyText"/>
      </w:pPr>
      <w:r>
        <w:t>课程报告不宜追求空泛的大而全，而应以当前真实项目为依据，优先保证：</w:t>
      </w:r>
    </w:p>
    <w:p>
      <w:pPr>
        <w:pStyle w:val="BodyText"/>
        <w:numPr>
          <w:ilvl w:val="0"/>
          <w:numId w:val="1"/>
        </w:numPr>
      </w:pPr>
      <w:r>
        <w:t>项目范围清晰。</w:t>
      </w:r>
    </w:p>
    <w:p>
      <w:pPr>
        <w:pStyle w:val="BodyText"/>
        <w:numPr>
          <w:ilvl w:val="0"/>
          <w:numId w:val="1"/>
        </w:numPr>
      </w:pPr>
      <w:r>
        <w:t>模块关系明确。</w:t>
      </w:r>
    </w:p>
    <w:p>
      <w:pPr>
        <w:pStyle w:val="BodyText"/>
        <w:numPr>
          <w:ilvl w:val="0"/>
          <w:numId w:val="1"/>
        </w:numPr>
      </w:pPr>
      <w:r>
        <w:t>每份报告内容和项目状态一致。</w:t>
      </w:r>
    </w:p>
    <w:p>
      <w:pPr>
        <w:pStyle w:val="BodyText"/>
        <w:numPr>
          <w:ilvl w:val="0"/>
          <w:numId w:val="1"/>
        </w:numPr>
      </w:pPr>
      <w:r>
        <w:t>结论可支撑后续计划、成本、风险和质量文档。</w:t>
      </w:r>
    </w:p>
    <w:p>
      <w:pPr>
        <w:pStyle w:val="Heading1"/>
        <w:pageBreakBefore/>
        <w:keepNext/>
      </w:pPr>
      <w:r>
        <w:t>03 资源计划</w:t>
      </w:r>
    </w:p>
    <w:p>
      <w:pPr>
        <w:pStyle w:val="Heading2"/>
        <w:keepNext/>
      </w:pPr>
      <w:r>
        <w:t>一、资源分类</w:t>
      </w:r>
    </w:p>
    <w:p>
      <w:pPr>
        <w:pStyle w:val="BodyText"/>
      </w:pPr>
      <w:r>
        <w:t>根据教材要求，软件项目资源主要包括人力、可复用的软件构件或组件，以及软硬件环境。本项目对应资源如下。</w:t>
      </w:r>
    </w:p>
    <w:p>
      <w:pPr>
        <w:pStyle w:val="BodyText"/>
      </w:pPr>
      <w:r>
        <w:t>资源计划的目的不是简单列出团队拥有哪些资源，而是说明这些资源如何服务于项目目标、在不同阶段如何投入、出现冲突时如何调配。本项目的交付物包括可运行系统、课程报告、演示材料和软件杯相关文档，因此资源计划既要覆盖开发资源，也要覆盖测试、部署、研究和文档资源。</w:t>
      </w:r>
    </w:p>
    <w:p>
      <w:pPr>
        <w:pStyle w:val="Heading3"/>
        <w:keepNext/>
      </w:pPr>
      <w:r>
        <w:t>1. 人力资源</w:t>
      </w:r>
    </w:p>
    <w:p>
      <w:pPr>
        <w:pStyle w:val="BodyText"/>
        <w:numPr>
          <w:ilvl w:val="0"/>
          <w:numId w:val="1"/>
        </w:numPr>
      </w:pPr>
      <w:r>
        <w:t>全栈开发负责人</w:t>
      </w:r>
    </w:p>
    <w:p>
      <w:pPr>
        <w:pStyle w:val="BodyText"/>
        <w:numPr>
          <w:ilvl w:val="0"/>
          <w:numId w:val="1"/>
        </w:numPr>
      </w:pPr>
      <w:r>
        <w:t>运维测试与演示负责人</w:t>
      </w:r>
    </w:p>
    <w:p>
      <w:pPr>
        <w:pStyle w:val="BodyText"/>
        <w:numPr>
          <w:ilvl w:val="0"/>
          <w:numId w:val="1"/>
        </w:numPr>
      </w:pPr>
      <w:r>
        <w:t>需求分析与研究指导负责人</w:t>
      </w:r>
    </w:p>
    <w:p>
      <w:pPr>
        <w:pStyle w:val="BodyText"/>
        <w:numPr>
          <w:ilvl w:val="0"/>
          <w:numId w:val="1"/>
        </w:numPr>
      </w:pPr>
      <w:r>
        <w:t>项目统筹与课程报告协作人员</w:t>
      </w:r>
    </w:p>
    <w:p>
      <w:pPr>
        <w:pStyle w:val="BodyText"/>
      </w:pPr>
      <w:r>
        <w:t>本项目实际团队规模为 3 人。由于人数较少，角色之间存在一定兼任关系，但每个成员的主要责任边界仍需清晰。全栈开发负责人承担主要工程实现，运维测试与演示负责人保障环境稳定和质量检查，需求分析与研究指导负责人负责需求口径、开源项目调研和论文方向参考。课程报告由全体协作完成，但需要统一术语和时间线。</w:t>
      </w:r>
    </w:p>
    <w:p>
      <w:pPr>
        <w:pStyle w:val="Heading3"/>
        <w:keepNext/>
      </w:pPr>
      <w:r>
        <w:t>2. 软件资源</w:t>
      </w:r>
    </w:p>
    <w:p>
      <w:pPr>
        <w:pStyle w:val="BodyText"/>
        <w:numPr>
          <w:ilvl w:val="0"/>
          <w:numId w:val="1"/>
        </w:numPr>
      </w:pPr>
      <w:r>
        <w:t>代码仓库与版本控制工具</w:t>
      </w:r>
    </w:p>
    <w:p>
      <w:pPr>
        <w:pStyle w:val="BodyText"/>
        <w:numPr>
          <w:ilvl w:val="0"/>
          <w:numId w:val="1"/>
        </w:numPr>
      </w:pPr>
      <w:r>
        <w:t>React、Vite、TypeScript、Node.js、Express、Prisma</w:t>
      </w:r>
    </w:p>
    <w:p>
      <w:pPr>
        <w:pStyle w:val="BodyText"/>
        <w:numPr>
          <w:ilvl w:val="0"/>
          <w:numId w:val="1"/>
        </w:numPr>
      </w:pPr>
      <w:r>
        <w:t>数据库与迁移工具</w:t>
      </w:r>
    </w:p>
    <w:p>
      <w:pPr>
        <w:pStyle w:val="BodyText"/>
        <w:numPr>
          <w:ilvl w:val="0"/>
          <w:numId w:val="1"/>
        </w:numPr>
      </w:pPr>
      <w:r>
        <w:t>阿里云数据库及连接配置</w:t>
      </w:r>
    </w:p>
    <w:p>
      <w:pPr>
        <w:pStyle w:val="BodyText"/>
        <w:numPr>
          <w:ilvl w:val="0"/>
          <w:numId w:val="1"/>
        </w:numPr>
      </w:pPr>
      <w:r>
        <w:t>Codex 类 AI 辅助开发工具</w:t>
      </w:r>
    </w:p>
    <w:p>
      <w:pPr>
        <w:pStyle w:val="BodyText"/>
        <w:numPr>
          <w:ilvl w:val="0"/>
          <w:numId w:val="1"/>
        </w:numPr>
      </w:pPr>
      <w:r>
        <w:t>课程报告模板与图表素材</w:t>
      </w:r>
    </w:p>
    <w:p>
      <w:pPr>
        <w:pStyle w:val="BodyText"/>
        <w:numPr>
          <w:ilvl w:val="0"/>
          <w:numId w:val="1"/>
        </w:numPr>
      </w:pPr>
      <w:r>
        <w:t>可复用的页面组件、接口封装、数据模型</w:t>
      </w:r>
    </w:p>
    <w:p>
      <w:pPr>
        <w:pStyle w:val="BodyText"/>
      </w:pPr>
      <w:r>
        <w:t>软件资源中，Codex 类工具主要用于辅助代码实现、问题定位、文档扩写和方案梳理，但其输出必须经过人工复核。阿里云数据库用于提升部署和演示阶段的数据稳定性，本地数据库环境则用于快速开发和调试。两类环境需要保持数据模型和配置说明一致，避免本地可运行但演示环境失败。</w:t>
      </w:r>
    </w:p>
    <w:p>
      <w:pPr>
        <w:pStyle w:val="BodyText"/>
      </w:pPr>
      <w:r>
        <w:t>从项目业务看，可复用软件资源不仅是框架和工具，还包括已经形成的业务服务和组件。例如 Workspace Shell、Workbench 多面板编辑器、文件系统服务、知识索引服务、课程知识图谱服务、AI Studio 产物生成服务、对话历史服务和学习规划相关接口，都是后续功能迭代和演示组织可以复用的资产。资源计划应把这些业务资产纳入管理，避免重复实现相同的资料读取、上下文构建和生成物保存逻辑。</w:t>
      </w:r>
    </w:p>
    <w:p>
      <w:pPr>
        <w:pStyle w:val="Heading3"/>
        <w:keepNext/>
      </w:pPr>
      <w:r>
        <w:t>3. 硬件与环境资源</w:t>
      </w:r>
    </w:p>
    <w:p>
      <w:pPr>
        <w:pStyle w:val="BodyText"/>
        <w:numPr>
          <w:ilvl w:val="0"/>
          <w:numId w:val="1"/>
        </w:numPr>
      </w:pPr>
      <w:r>
        <w:t>开发笔记本电脑</w:t>
      </w:r>
    </w:p>
    <w:p>
      <w:pPr>
        <w:pStyle w:val="BodyText"/>
        <w:numPr>
          <w:ilvl w:val="0"/>
          <w:numId w:val="1"/>
        </w:numPr>
      </w:pPr>
      <w:r>
        <w:t>本地数据库环境</w:t>
      </w:r>
    </w:p>
    <w:p>
      <w:pPr>
        <w:pStyle w:val="BodyText"/>
        <w:numPr>
          <w:ilvl w:val="0"/>
          <w:numId w:val="1"/>
        </w:numPr>
      </w:pPr>
      <w:r>
        <w:t>浏览器与调试工具</w:t>
      </w:r>
    </w:p>
    <w:p>
      <w:pPr>
        <w:pStyle w:val="BodyText"/>
        <w:numPr>
          <w:ilvl w:val="0"/>
          <w:numId w:val="1"/>
        </w:numPr>
      </w:pPr>
      <w:r>
        <w:t>可能的云服务或模型服务访问权限</w:t>
      </w:r>
    </w:p>
    <w:p>
      <w:pPr>
        <w:pStyle w:val="BodyText"/>
        <w:numPr>
          <w:ilvl w:val="0"/>
          <w:numId w:val="1"/>
        </w:numPr>
      </w:pPr>
      <w:r>
        <w:t>服务机或轻量云服务器</w:t>
      </w:r>
    </w:p>
    <w:p>
      <w:pPr>
        <w:pStyle w:val="BodyText"/>
        <w:numPr>
          <w:ilvl w:val="0"/>
          <w:numId w:val="1"/>
        </w:numPr>
      </w:pPr>
      <w:r>
        <w:t>网络环境、演示设备和备用截图材料</w:t>
      </w:r>
    </w:p>
    <w:p>
      <w:pPr>
        <w:pStyle w:val="BodyText"/>
      </w:pPr>
      <w:r>
        <w:t>硬件资源以个人开发设备为主，不额外采购专用服务器。演示阶段需要重点保障网络、浏览器、数据库连接和模型服务可用性。若外部服务临时不可用，应提前准备本地备用数据、静态截图和降级演示路径。</w:t>
      </w:r>
    </w:p>
    <w:p>
      <w:pPr>
        <w:pStyle w:val="Heading2"/>
        <w:keepNext/>
      </w:pPr>
      <w:r>
        <w:t>二、资源计划</w:t>
      </w:r>
    </w:p>
    <w:p>
      <w:pPr>
        <w:pStyle w:val="Heading3"/>
        <w:keepNext/>
      </w:pPr>
      <w:r>
        <w:t>1. 人力资源计划</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角色</w:t>
            </w:r>
          </w:p>
        </w:tc>
        <w:tc>
          <w:tcPr>
            <w:tcW w:w="2300" w:type="dxa"/>
            <w:shd w:fill="F2F4F7"/>
            <w:vAlign w:val="center"/>
          </w:tcPr>
          <w:p>
            <w:pPr>
              <w:pStyle w:val="TableText"/>
              <w:spacing w:after="0"/>
            </w:pPr>
            <w:r>
              <w:rPr>
                <w:b/>
              </w:rPr>
              <w:t>主要职责</w:t>
            </w:r>
          </w:p>
        </w:tc>
        <w:tc>
          <w:tcPr>
            <w:tcW w:w="4860" w:type="dxa"/>
            <w:shd w:fill="F2F4F7"/>
            <w:vAlign w:val="center"/>
          </w:tcPr>
          <w:p>
            <w:pPr>
              <w:pStyle w:val="TableText"/>
              <w:spacing w:after="0"/>
            </w:pPr>
            <w:r>
              <w:rPr>
                <w:b/>
              </w:rPr>
              <w:t>投入方式</w:t>
            </w:r>
          </w:p>
        </w:tc>
      </w:tr>
      <w:tr>
        <w:tc>
          <w:tcPr>
            <w:tcW w:w="2200" w:type="dxa"/>
            <w:vAlign w:val="center"/>
          </w:tcPr>
          <w:p>
            <w:pPr>
              <w:pStyle w:val="TableText"/>
              <w:spacing w:after="0"/>
            </w:pPr>
            <w:r>
              <w:t>全栈开发</w:t>
            </w:r>
          </w:p>
        </w:tc>
        <w:tc>
          <w:tcPr>
            <w:tcW w:w="2300" w:type="dxa"/>
            <w:vAlign w:val="center"/>
          </w:tcPr>
          <w:p>
            <w:pPr>
              <w:pStyle w:val="TableText"/>
              <w:spacing w:after="0"/>
            </w:pPr>
            <w:r>
              <w:t>页面、路由、API、认证、数据模型、智能能力接入</w:t>
            </w:r>
          </w:p>
        </w:tc>
        <w:tc>
          <w:tcPr>
            <w:tcW w:w="4860" w:type="dxa"/>
            <w:vAlign w:val="center"/>
          </w:tcPr>
          <w:p>
            <w:pPr>
              <w:pStyle w:val="TableText"/>
              <w:spacing w:after="0"/>
            </w:pPr>
            <w:r>
              <w:t>全程高强度投入</w:t>
            </w:r>
          </w:p>
        </w:tc>
      </w:tr>
      <w:tr>
        <w:tc>
          <w:tcPr>
            <w:tcW w:w="2200" w:type="dxa"/>
            <w:vAlign w:val="center"/>
          </w:tcPr>
          <w:p>
            <w:pPr>
              <w:pStyle w:val="TableText"/>
              <w:spacing w:after="0"/>
            </w:pPr>
            <w:r>
              <w:t>运维测试</w:t>
            </w:r>
          </w:p>
        </w:tc>
        <w:tc>
          <w:tcPr>
            <w:tcW w:w="2300" w:type="dxa"/>
            <w:vAlign w:val="center"/>
          </w:tcPr>
          <w:p>
            <w:pPr>
              <w:pStyle w:val="TableText"/>
              <w:spacing w:after="0"/>
            </w:pPr>
            <w:r>
              <w:t>部署、数据库连接、测试用例、回归、截图、演示脚本</w:t>
            </w:r>
          </w:p>
        </w:tc>
        <w:tc>
          <w:tcPr>
            <w:tcW w:w="4860" w:type="dxa"/>
            <w:vAlign w:val="center"/>
          </w:tcPr>
          <w:p>
            <w:pPr>
              <w:pStyle w:val="TableText"/>
              <w:spacing w:after="0"/>
            </w:pPr>
            <w:r>
              <w:t>中后期重点投入</w:t>
            </w:r>
          </w:p>
        </w:tc>
      </w:tr>
      <w:tr>
        <w:tc>
          <w:tcPr>
            <w:tcW w:w="2200" w:type="dxa"/>
            <w:vAlign w:val="center"/>
          </w:tcPr>
          <w:p>
            <w:pPr>
              <w:pStyle w:val="TableText"/>
              <w:spacing w:after="0"/>
            </w:pPr>
            <w:r>
              <w:t>需求与研究</w:t>
            </w:r>
          </w:p>
        </w:tc>
        <w:tc>
          <w:tcPr>
            <w:tcW w:w="2300" w:type="dxa"/>
            <w:vAlign w:val="center"/>
          </w:tcPr>
          <w:p>
            <w:pPr>
              <w:pStyle w:val="TableText"/>
              <w:spacing w:after="0"/>
            </w:pPr>
            <w:r>
              <w:t>需求分析、开源项目调研、论文资料、技术路线建议</w:t>
            </w:r>
          </w:p>
        </w:tc>
        <w:tc>
          <w:tcPr>
            <w:tcW w:w="4860" w:type="dxa"/>
            <w:vAlign w:val="center"/>
          </w:tcPr>
          <w:p>
            <w:pPr>
              <w:pStyle w:val="TableText"/>
              <w:spacing w:after="0"/>
            </w:pPr>
            <w:r>
              <w:t>前期和关键评审阶段投入</w:t>
            </w:r>
          </w:p>
        </w:tc>
      </w:tr>
      <w:tr>
        <w:tc>
          <w:tcPr>
            <w:tcW w:w="2200" w:type="dxa"/>
            <w:vAlign w:val="center"/>
          </w:tcPr>
          <w:p>
            <w:pPr>
              <w:pStyle w:val="TableText"/>
              <w:spacing w:after="0"/>
            </w:pPr>
            <w:r>
              <w:t>文档协作</w:t>
            </w:r>
          </w:p>
        </w:tc>
        <w:tc>
          <w:tcPr>
            <w:tcW w:w="2300" w:type="dxa"/>
            <w:vAlign w:val="center"/>
          </w:tcPr>
          <w:p>
            <w:pPr>
              <w:pStyle w:val="TableText"/>
              <w:spacing w:after="0"/>
            </w:pPr>
            <w:r>
              <w:t>课程报告、答辩材料、口径校对和总结复盘</w:t>
            </w:r>
          </w:p>
        </w:tc>
        <w:tc>
          <w:tcPr>
            <w:tcW w:w="4860" w:type="dxa"/>
            <w:vAlign w:val="center"/>
          </w:tcPr>
          <w:p>
            <w:pPr>
              <w:pStyle w:val="TableText"/>
              <w:spacing w:after="0"/>
            </w:pPr>
            <w:r>
              <w:t>全程滚动投入</w:t>
            </w:r>
          </w:p>
        </w:tc>
      </w:tr>
    </w:tbl>
    <w:p>
      <w:pPr>
        <w:pStyle w:val="BodyText"/>
        <w:spacing w:after="80"/>
      </w:pPr>
    </w:p>
    <w:p>
      <w:pPr>
        <w:pStyle w:val="BodyText"/>
      </w:pPr>
      <w:r>
        <w:t>人力资源投入具有阶段差异。前期需求与研究投入较多，用于明确赛题要求、课程要求和项目范围；中期全栈开发投入最高，用于完成核心功能和接口联调；后期运维测试与文档协作投入增加，用于保证演示稳定、报告一致和提交材料完整。</w:t>
      </w:r>
    </w:p>
    <w:p>
      <w:pPr>
        <w:pStyle w:val="Heading3"/>
        <w:keepNext/>
      </w:pPr>
      <w:r>
        <w:t>2. 软硬件资源计划</w:t>
      </w:r>
    </w:p>
    <w:p>
      <w:pPr>
        <w:pStyle w:val="BodyText"/>
        <w:numPr>
          <w:ilvl w:val="0"/>
          <w:numId w:val="1"/>
        </w:numPr>
      </w:pPr>
      <w:r>
        <w:t>开发环境：统一使用本地开发机与浏览器环境。</w:t>
      </w:r>
    </w:p>
    <w:p>
      <w:pPr>
        <w:pStyle w:val="BodyText"/>
        <w:numPr>
          <w:ilvl w:val="0"/>
          <w:numId w:val="1"/>
        </w:numPr>
      </w:pPr>
      <w:r>
        <w:t>数据环境：早期使用 SQLite 快速开发，后续迁移到阿里云数据库支撑演示和部署。</w:t>
      </w:r>
    </w:p>
    <w:p>
      <w:pPr>
        <w:pStyle w:val="BodyText"/>
        <w:numPr>
          <w:ilvl w:val="0"/>
          <w:numId w:val="1"/>
        </w:numPr>
      </w:pPr>
      <w:r>
        <w:t>服务环境：按需接入检索、向量、模型或外部接口。</w:t>
      </w:r>
    </w:p>
    <w:p>
      <w:pPr>
        <w:pStyle w:val="BodyText"/>
        <w:numPr>
          <w:ilvl w:val="0"/>
          <w:numId w:val="1"/>
        </w:numPr>
      </w:pPr>
      <w:r>
        <w:t>产物环境：课程报告、截图、演示稿、答辩材料统一归档。</w:t>
      </w:r>
    </w:p>
    <w:p>
      <w:pPr>
        <w:pStyle w:val="BodyText"/>
      </w:pPr>
      <w:r>
        <w:t>软硬件资源使用应遵循“开发轻量、演示稳定、资料可追溯”的原则。本地环境用于快速验证功能，云端环境用于正式演示和远程访问。所有关键配置，如数据库连接、环境变量、模型服务密钥和演示账号，都应有记录并妥善保护，避免因个人设备或临时环境变化影响交付。</w:t>
      </w:r>
    </w:p>
    <w:p>
      <w:pPr>
        <w:pStyle w:val="BodyText"/>
      </w:pPr>
      <w:r>
        <w:t>演示资源还应按业务场景准备，而不是只准备空系统。建议至少准备一个“数据库系统复习”或“大模型系统课程学习”的 Workspace，包含课件/PDF、网页资料、代码片段、一个已创建的 Workbench、若干知识图谱概念、一个学习计划、几条 AI Terminal 对话、AI Studio 生成的测验或闪卡。这样资源投入可以直接服务于答辩展示和质量检查。</w:t>
      </w:r>
    </w:p>
    <w:p>
      <w:pPr>
        <w:pStyle w:val="Heading2"/>
        <w:keepNext/>
      </w:pPr>
      <w:r>
        <w:t>三、项目组织结构</w:t>
      </w:r>
    </w:p>
    <w:p>
      <w:pPr>
        <w:pStyle w:val="BodyText"/>
      </w:pPr>
      <w:r>
        <w:t>建议采用“3 人核心团队 + 明确职责边界”的轻量组织。</w:t>
      </w:r>
    </w:p>
    <w:p>
      <w:pPr>
        <w:pStyle w:val="CodeBlock"/>
        <w:spacing w:after="0"/>
      </w:pPr>
      <w:r>
        <w:t>项目统筹（共同承担）</w:t>
      </w:r>
    </w:p>
    <w:p>
      <w:pPr>
        <w:pStyle w:val="CodeBlock"/>
        <w:spacing w:after="0"/>
      </w:pPr>
      <w:r>
        <w:t>├─ 全栈开发负责人</w:t>
      </w:r>
    </w:p>
    <w:p>
      <w:pPr>
        <w:pStyle w:val="CodeBlock"/>
        <w:spacing w:after="0"/>
      </w:pPr>
      <w:r>
        <w:t>├─ 运维测试与演示负责人</w:t>
      </w:r>
    </w:p>
    <w:p>
      <w:pPr>
        <w:pStyle w:val="CodeBlock"/>
        <w:spacing w:after="0"/>
      </w:pPr>
      <w:r>
        <w:t>└─ 需求分析与研究指导负责人</w:t>
      </w:r>
    </w:p>
    <w:p>
      <w:pPr>
        <w:pStyle w:val="BodyText"/>
      </w:pPr>
      <w:r>
        <w:t>该组织结构的优势是沟通路径短、决策速度快，适合课程项目和竞赛原型；不足是关键工作容易集中在少数成员身上，因此必须通过任务清单、阶段检查和文档记录降低单点风险。每个阶段结束时，团队需要确认功能完成情况、环境状态、报告同步情况和下一阶段资源重点。</w:t>
      </w:r>
    </w:p>
    <w:p>
      <w:pPr>
        <w:pStyle w:val="BodyText"/>
      </w:pPr>
      <w:r>
        <w:t>组织结构也对应系统模块责任。全栈开发负责人重点关注 Workspace/Workbench 主流程、资料库、AI Terminal、AI Studio 和后端服务集成；运维测试负责人重点关注登录、数据隔离、阿里云数据库、上传下载、知识索引、演示账号和浏览器运行状态；需求与研究负责人重点关注赛题中的“个性化资源生成”“学习多智能体系统”“知识图谱与学习规划”等要求是否被真实功能覆盖。</w:t>
      </w:r>
    </w:p>
    <w:p>
      <w:pPr>
        <w:pStyle w:val="Heading2"/>
        <w:keepNext/>
      </w:pPr>
      <w:r>
        <w:t>四、责任分配矩阵</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900"/>
        <w:gridCol w:w="1900"/>
        <w:gridCol w:w="1900"/>
        <w:gridCol w:w="3660"/>
      </w:tblGrid>
      <w:tr>
        <w:tc>
          <w:tcPr>
            <w:tcW w:w="1900" w:type="dxa"/>
            <w:shd w:fill="F2F4F7"/>
            <w:vAlign w:val="center"/>
          </w:tcPr>
          <w:p>
            <w:pPr>
              <w:pStyle w:val="TableText"/>
              <w:spacing w:after="0"/>
            </w:pPr>
            <w:r>
              <w:rPr>
                <w:b/>
              </w:rPr>
              <w:t>任务</w:t>
            </w:r>
          </w:p>
        </w:tc>
        <w:tc>
          <w:tcPr>
            <w:tcW w:w="1900" w:type="dxa"/>
            <w:shd w:fill="F2F4F7"/>
            <w:vAlign w:val="center"/>
          </w:tcPr>
          <w:p>
            <w:pPr>
              <w:pStyle w:val="TableText"/>
              <w:spacing w:after="0"/>
            </w:pPr>
            <w:r>
              <w:rPr>
                <w:b/>
              </w:rPr>
              <w:t>负责人</w:t>
            </w:r>
          </w:p>
        </w:tc>
        <w:tc>
          <w:tcPr>
            <w:tcW w:w="1900" w:type="dxa"/>
            <w:shd w:fill="F2F4F7"/>
            <w:vAlign w:val="center"/>
          </w:tcPr>
          <w:p>
            <w:pPr>
              <w:pStyle w:val="TableText"/>
              <w:spacing w:after="0"/>
            </w:pPr>
            <w:r>
              <w:rPr>
                <w:b/>
              </w:rPr>
              <w:t>参与人</w:t>
            </w:r>
          </w:p>
        </w:tc>
        <w:tc>
          <w:tcPr>
            <w:tcW w:w="3660" w:type="dxa"/>
            <w:shd w:fill="F2F4F7"/>
            <w:vAlign w:val="center"/>
          </w:tcPr>
          <w:p>
            <w:pPr>
              <w:pStyle w:val="TableText"/>
              <w:spacing w:after="0"/>
            </w:pPr>
            <w:r>
              <w:rPr>
                <w:b/>
              </w:rPr>
              <w:t>说明</w:t>
            </w:r>
          </w:p>
        </w:tc>
      </w:tr>
      <w:tr>
        <w:tc>
          <w:tcPr>
            <w:tcW w:w="1900" w:type="dxa"/>
            <w:vAlign w:val="center"/>
          </w:tcPr>
          <w:p>
            <w:pPr>
              <w:pStyle w:val="TableText"/>
              <w:spacing w:after="0"/>
            </w:pPr>
            <w:r>
              <w:t>需求与范围控制</w:t>
            </w:r>
          </w:p>
        </w:tc>
        <w:tc>
          <w:tcPr>
            <w:tcW w:w="1900" w:type="dxa"/>
            <w:vAlign w:val="center"/>
          </w:tcPr>
          <w:p>
            <w:pPr>
              <w:pStyle w:val="TableText"/>
              <w:spacing w:after="0"/>
            </w:pPr>
            <w:r>
              <w:t>需求分析与研究负责人</w:t>
            </w:r>
          </w:p>
        </w:tc>
        <w:tc>
          <w:tcPr>
            <w:tcW w:w="1900" w:type="dxa"/>
            <w:vAlign w:val="center"/>
          </w:tcPr>
          <w:p>
            <w:pPr>
              <w:pStyle w:val="TableText"/>
              <w:spacing w:after="0"/>
            </w:pPr>
            <w:r>
              <w:t>全体</w:t>
            </w:r>
          </w:p>
        </w:tc>
        <w:tc>
          <w:tcPr>
            <w:tcW w:w="3660" w:type="dxa"/>
            <w:vAlign w:val="center"/>
          </w:tcPr>
          <w:p>
            <w:pPr>
              <w:pStyle w:val="TableText"/>
              <w:spacing w:after="0"/>
            </w:pPr>
            <w:r>
              <w:t>保证课程、赛题和实现一致</w:t>
            </w:r>
          </w:p>
        </w:tc>
      </w:tr>
      <w:tr>
        <w:tc>
          <w:tcPr>
            <w:tcW w:w="1900" w:type="dxa"/>
            <w:vAlign w:val="center"/>
          </w:tcPr>
          <w:p>
            <w:pPr>
              <w:pStyle w:val="TableText"/>
              <w:spacing w:after="0"/>
            </w:pPr>
            <w:r>
              <w:t>前端功能</w:t>
            </w:r>
          </w:p>
        </w:tc>
        <w:tc>
          <w:tcPr>
            <w:tcW w:w="1900" w:type="dxa"/>
            <w:vAlign w:val="center"/>
          </w:tcPr>
          <w:p>
            <w:pPr>
              <w:pStyle w:val="TableText"/>
              <w:spacing w:after="0"/>
            </w:pPr>
            <w:r>
              <w:t>全栈开发负责人</w:t>
            </w:r>
          </w:p>
        </w:tc>
        <w:tc>
          <w:tcPr>
            <w:tcW w:w="1900" w:type="dxa"/>
            <w:vAlign w:val="center"/>
          </w:tcPr>
          <w:p>
            <w:pPr>
              <w:pStyle w:val="TableText"/>
              <w:spacing w:after="0"/>
            </w:pPr>
            <w:r>
              <w:t>运维测试</w:t>
            </w:r>
          </w:p>
        </w:tc>
        <w:tc>
          <w:tcPr>
            <w:tcW w:w="3660" w:type="dxa"/>
            <w:vAlign w:val="center"/>
          </w:tcPr>
          <w:p>
            <w:pPr>
              <w:pStyle w:val="TableText"/>
              <w:spacing w:after="0"/>
            </w:pPr>
            <w:r>
              <w:t>页面与演示流程联调</w:t>
            </w:r>
          </w:p>
        </w:tc>
      </w:tr>
      <w:tr>
        <w:tc>
          <w:tcPr>
            <w:tcW w:w="1900" w:type="dxa"/>
            <w:vAlign w:val="center"/>
          </w:tcPr>
          <w:p>
            <w:pPr>
              <w:pStyle w:val="TableText"/>
              <w:spacing w:after="0"/>
            </w:pPr>
            <w:r>
              <w:t>后端服务</w:t>
            </w:r>
          </w:p>
        </w:tc>
        <w:tc>
          <w:tcPr>
            <w:tcW w:w="1900" w:type="dxa"/>
            <w:vAlign w:val="center"/>
          </w:tcPr>
          <w:p>
            <w:pPr>
              <w:pStyle w:val="TableText"/>
              <w:spacing w:after="0"/>
            </w:pPr>
            <w:r>
              <w:t>全栈开发负责人</w:t>
            </w:r>
          </w:p>
        </w:tc>
        <w:tc>
          <w:tcPr>
            <w:tcW w:w="1900" w:type="dxa"/>
            <w:vAlign w:val="center"/>
          </w:tcPr>
          <w:p>
            <w:pPr>
              <w:pStyle w:val="TableText"/>
              <w:spacing w:after="0"/>
            </w:pPr>
            <w:r>
              <w:t>运维测试</w:t>
            </w:r>
          </w:p>
        </w:tc>
        <w:tc>
          <w:tcPr>
            <w:tcW w:w="3660" w:type="dxa"/>
            <w:vAlign w:val="center"/>
          </w:tcPr>
          <w:p>
            <w:pPr>
              <w:pStyle w:val="TableText"/>
              <w:spacing w:after="0"/>
            </w:pPr>
            <w:r>
              <w:t>接口、认证、数据流</w:t>
            </w:r>
          </w:p>
        </w:tc>
      </w:tr>
      <w:tr>
        <w:tc>
          <w:tcPr>
            <w:tcW w:w="1900" w:type="dxa"/>
            <w:vAlign w:val="center"/>
          </w:tcPr>
          <w:p>
            <w:pPr>
              <w:pStyle w:val="TableText"/>
              <w:spacing w:after="0"/>
            </w:pPr>
            <w:r>
              <w:t>智能能力</w:t>
            </w:r>
          </w:p>
        </w:tc>
        <w:tc>
          <w:tcPr>
            <w:tcW w:w="1900" w:type="dxa"/>
            <w:vAlign w:val="center"/>
          </w:tcPr>
          <w:p>
            <w:pPr>
              <w:pStyle w:val="TableText"/>
              <w:spacing w:after="0"/>
            </w:pPr>
            <w:r>
              <w:t>全栈开发负责人</w:t>
            </w:r>
          </w:p>
        </w:tc>
        <w:tc>
          <w:tcPr>
            <w:tcW w:w="1900" w:type="dxa"/>
            <w:vAlign w:val="center"/>
          </w:tcPr>
          <w:p>
            <w:pPr>
              <w:pStyle w:val="TableText"/>
              <w:spacing w:after="0"/>
            </w:pPr>
            <w:r>
              <w:t>需求分析与研究负责人</w:t>
            </w:r>
          </w:p>
        </w:tc>
        <w:tc>
          <w:tcPr>
            <w:tcW w:w="3660" w:type="dxa"/>
            <w:vAlign w:val="center"/>
          </w:tcPr>
          <w:p>
            <w:pPr>
              <w:pStyle w:val="TableText"/>
              <w:spacing w:after="0"/>
            </w:pPr>
            <w:r>
              <w:t>检索、图谱、规划、Agent</w:t>
            </w:r>
          </w:p>
        </w:tc>
      </w:tr>
      <w:tr>
        <w:tc>
          <w:tcPr>
            <w:tcW w:w="1900" w:type="dxa"/>
            <w:vAlign w:val="center"/>
          </w:tcPr>
          <w:p>
            <w:pPr>
              <w:pStyle w:val="TableText"/>
              <w:spacing w:after="0"/>
            </w:pPr>
            <w:r>
              <w:t>部署与数据库</w:t>
            </w:r>
          </w:p>
        </w:tc>
        <w:tc>
          <w:tcPr>
            <w:tcW w:w="1900" w:type="dxa"/>
            <w:vAlign w:val="center"/>
          </w:tcPr>
          <w:p>
            <w:pPr>
              <w:pStyle w:val="TableText"/>
              <w:spacing w:after="0"/>
            </w:pPr>
            <w:r>
              <w:t>运维测试负责人</w:t>
            </w:r>
          </w:p>
        </w:tc>
        <w:tc>
          <w:tcPr>
            <w:tcW w:w="1900" w:type="dxa"/>
            <w:vAlign w:val="center"/>
          </w:tcPr>
          <w:p>
            <w:pPr>
              <w:pStyle w:val="TableText"/>
              <w:spacing w:after="0"/>
            </w:pPr>
            <w:r>
              <w:t>全栈开发负责人</w:t>
            </w:r>
          </w:p>
        </w:tc>
        <w:tc>
          <w:tcPr>
            <w:tcW w:w="3660" w:type="dxa"/>
            <w:vAlign w:val="center"/>
          </w:tcPr>
          <w:p>
            <w:pPr>
              <w:pStyle w:val="TableText"/>
              <w:spacing w:after="0"/>
            </w:pPr>
            <w:r>
              <w:t>阿里云数据库、服务机、环境变量</w:t>
            </w:r>
          </w:p>
        </w:tc>
      </w:tr>
      <w:tr>
        <w:tc>
          <w:tcPr>
            <w:tcW w:w="1900" w:type="dxa"/>
            <w:vAlign w:val="center"/>
          </w:tcPr>
          <w:p>
            <w:pPr>
              <w:pStyle w:val="TableText"/>
              <w:spacing w:after="0"/>
            </w:pPr>
            <w:r>
              <w:t>测试与回归</w:t>
            </w:r>
          </w:p>
        </w:tc>
        <w:tc>
          <w:tcPr>
            <w:tcW w:w="1900" w:type="dxa"/>
            <w:vAlign w:val="center"/>
          </w:tcPr>
          <w:p>
            <w:pPr>
              <w:pStyle w:val="TableText"/>
              <w:spacing w:after="0"/>
            </w:pPr>
            <w:r>
              <w:t>运维测试负责人</w:t>
            </w:r>
          </w:p>
        </w:tc>
        <w:tc>
          <w:tcPr>
            <w:tcW w:w="1900" w:type="dxa"/>
            <w:vAlign w:val="center"/>
          </w:tcPr>
          <w:p>
            <w:pPr>
              <w:pStyle w:val="TableText"/>
              <w:spacing w:after="0"/>
            </w:pPr>
            <w:r>
              <w:t>全体</w:t>
            </w:r>
          </w:p>
        </w:tc>
        <w:tc>
          <w:tcPr>
            <w:tcW w:w="3660" w:type="dxa"/>
            <w:vAlign w:val="center"/>
          </w:tcPr>
          <w:p>
            <w:pPr>
              <w:pStyle w:val="TableText"/>
              <w:spacing w:after="0"/>
            </w:pPr>
            <w:r>
              <w:t>修复缺陷并补记录</w:t>
            </w:r>
          </w:p>
        </w:tc>
      </w:tr>
      <w:tr>
        <w:tc>
          <w:tcPr>
            <w:tcW w:w="1900" w:type="dxa"/>
            <w:vAlign w:val="center"/>
          </w:tcPr>
          <w:p>
            <w:pPr>
              <w:pStyle w:val="TableText"/>
              <w:spacing w:after="0"/>
            </w:pPr>
            <w:r>
              <w:t>课程报告</w:t>
            </w:r>
          </w:p>
        </w:tc>
        <w:tc>
          <w:tcPr>
            <w:tcW w:w="1900" w:type="dxa"/>
            <w:vAlign w:val="center"/>
          </w:tcPr>
          <w:p>
            <w:pPr>
              <w:pStyle w:val="TableText"/>
              <w:spacing w:after="0"/>
            </w:pPr>
            <w:r>
              <w:t>需求分析与研究负责人</w:t>
            </w:r>
          </w:p>
        </w:tc>
        <w:tc>
          <w:tcPr>
            <w:tcW w:w="1900" w:type="dxa"/>
            <w:vAlign w:val="center"/>
          </w:tcPr>
          <w:p>
            <w:pPr>
              <w:pStyle w:val="TableText"/>
              <w:spacing w:after="0"/>
            </w:pPr>
            <w:r>
              <w:t>全体</w:t>
            </w:r>
          </w:p>
        </w:tc>
        <w:tc>
          <w:tcPr>
            <w:tcW w:w="3660" w:type="dxa"/>
            <w:vAlign w:val="center"/>
          </w:tcPr>
          <w:p>
            <w:pPr>
              <w:pStyle w:val="TableText"/>
              <w:spacing w:after="0"/>
            </w:pPr>
            <w:r>
              <w:t>统一口径和版本</w:t>
            </w:r>
          </w:p>
        </w:tc>
      </w:tr>
    </w:tbl>
    <w:p>
      <w:pPr>
        <w:pStyle w:val="BodyText"/>
        <w:spacing w:after="80"/>
      </w:pPr>
    </w:p>
    <w:p>
      <w:pPr>
        <w:pStyle w:val="BodyText"/>
      </w:pPr>
      <w:r>
        <w:t>责任分配矩阵需要随项目推进动态校正。若某项任务出现延期，应先判断是人力不足、依赖阻塞还是需求不清，再决定是否调整负责人或降低功能优先级。</w:t>
      </w:r>
    </w:p>
    <w:p>
      <w:pPr>
        <w:pStyle w:val="Heading2"/>
        <w:keepNext/>
      </w:pPr>
      <w:r>
        <w:t>五、资源计划编制依据</w:t>
      </w:r>
    </w:p>
    <w:p>
      <w:pPr>
        <w:pStyle w:val="BodyText"/>
        <w:numPr>
          <w:ilvl w:val="0"/>
          <w:numId w:val="1"/>
        </w:numPr>
      </w:pPr>
      <w:r>
        <w:t>项目范围说明书：当前项目功能说明和需求分析。</w:t>
      </w:r>
    </w:p>
    <w:p>
      <w:pPr>
        <w:pStyle w:val="BodyText"/>
        <w:numPr>
          <w:ilvl w:val="0"/>
          <w:numId w:val="1"/>
        </w:numPr>
      </w:pPr>
      <w:r>
        <w:t>项目工作分解结构：按 Workspace、Workbench、资料库、知识图谱、AI Terminal、规划、画像、Studio、测试与文档拆分。</w:t>
      </w:r>
    </w:p>
    <w:p>
      <w:pPr>
        <w:pStyle w:val="BodyText"/>
        <w:numPr>
          <w:ilvl w:val="0"/>
          <w:numId w:val="1"/>
        </w:numPr>
      </w:pPr>
      <w:r>
        <w:t>历史项目数据：参考当前仓库已有模块、设计文档和既有实现。</w:t>
      </w:r>
    </w:p>
    <w:p>
      <w:pPr>
        <w:pStyle w:val="BodyText"/>
        <w:numPr>
          <w:ilvl w:val="0"/>
          <w:numId w:val="1"/>
        </w:numPr>
      </w:pPr>
      <w:r>
        <w:t>管理政策：优先保障课程节点与答辩展示，控制范围蔓延。</w:t>
      </w:r>
    </w:p>
    <w:p>
      <w:pPr>
        <w:pStyle w:val="BodyText"/>
        <w:numPr>
          <w:ilvl w:val="0"/>
          <w:numId w:val="1"/>
        </w:numPr>
      </w:pPr>
      <w:r>
        <w:t>活动工期估算：结合现有完成度分配资源。</w:t>
      </w:r>
    </w:p>
    <w:p>
      <w:pPr>
        <w:pStyle w:val="BodyText"/>
        <w:numPr>
          <w:ilvl w:val="0"/>
          <w:numId w:val="1"/>
        </w:numPr>
      </w:pPr>
      <w:r>
        <w:t>其他制约因素：人手、时间、接口稳定性、演示环境。</w:t>
      </w:r>
    </w:p>
    <w:p>
      <w:pPr>
        <w:pStyle w:val="BodyText"/>
        <w:numPr>
          <w:ilvl w:val="0"/>
          <w:numId w:val="1"/>
        </w:numPr>
      </w:pPr>
      <w:r>
        <w:t>成本计划：现金支出控制在 1500 元以内，课程估算成本按完整资源投入计算。</w:t>
      </w:r>
    </w:p>
    <w:p>
      <w:pPr>
        <w:pStyle w:val="BodyText"/>
        <w:numPr>
          <w:ilvl w:val="0"/>
          <w:numId w:val="1"/>
        </w:numPr>
      </w:pPr>
      <w:r>
        <w:t>风险计划：对智能服务、云数据库、演示环境和关键人员投入设置备用方案。</w:t>
      </w:r>
    </w:p>
    <w:p>
      <w:pPr>
        <w:pStyle w:val="Heading2"/>
        <w:keepNext/>
      </w:pPr>
      <w:r>
        <w:t>六、资源使用原则</w:t>
      </w:r>
    </w:p>
    <w:p>
      <w:pPr>
        <w:pStyle w:val="BodyText"/>
        <w:numPr>
          <w:ilvl w:val="0"/>
          <w:numId w:val="2"/>
        </w:numPr>
      </w:pPr>
      <w:r>
        <w:t>核心模块优先，先完成能形成闭环的功能。</w:t>
      </w:r>
    </w:p>
    <w:p>
      <w:pPr>
        <w:pStyle w:val="BodyText"/>
        <w:numPr>
          <w:ilvl w:val="0"/>
          <w:numId w:val="2"/>
        </w:numPr>
      </w:pPr>
      <w:r>
        <w:t>共享资源优先，避免重复实现相同页面或逻辑。</w:t>
      </w:r>
    </w:p>
    <w:p>
      <w:pPr>
        <w:pStyle w:val="BodyText"/>
        <w:numPr>
          <w:ilvl w:val="0"/>
          <w:numId w:val="2"/>
        </w:numPr>
      </w:pPr>
      <w:r>
        <w:t>资料与代码同步归档，减少后期补文档成本。</w:t>
      </w:r>
    </w:p>
    <w:p>
      <w:pPr>
        <w:pStyle w:val="BodyText"/>
        <w:numPr>
          <w:ilvl w:val="0"/>
          <w:numId w:val="2"/>
        </w:numPr>
      </w:pPr>
      <w:r>
        <w:t>后期集中保障测试、截图、演示和报告排版资源。</w:t>
      </w:r>
    </w:p>
    <w:p>
      <w:pPr>
        <w:pStyle w:val="BodyText"/>
        <w:numPr>
          <w:ilvl w:val="0"/>
          <w:numId w:val="2"/>
        </w:numPr>
      </w:pPr>
      <w:r>
        <w:t>AI 辅助工具优先用于提高效率，但不能替代人工确认和测试。</w:t>
      </w:r>
    </w:p>
    <w:p>
      <w:pPr>
        <w:pStyle w:val="BodyText"/>
        <w:numPr>
          <w:ilvl w:val="0"/>
          <w:numId w:val="2"/>
        </w:numPr>
      </w:pPr>
      <w:r>
        <w:t>云端资源按需使用，避免为非核心功能消耗过多费用。</w:t>
      </w:r>
    </w:p>
    <w:p>
      <w:pPr>
        <w:pStyle w:val="BodyText"/>
        <w:numPr>
          <w:ilvl w:val="0"/>
          <w:numId w:val="2"/>
        </w:numPr>
      </w:pPr>
      <w:r>
        <w:t>关键配置和资料统一归档，减少因个人设备差异造成的重复工作。</w:t>
      </w:r>
    </w:p>
    <w:p>
      <w:pPr>
        <w:pStyle w:val="Heading2"/>
        <w:keepNext/>
      </w:pPr>
      <w:r>
        <w:t>七、补充说明</w:t>
      </w:r>
    </w:p>
    <w:p>
      <w:pPr>
        <w:pStyle w:val="BodyText"/>
      </w:pPr>
      <w:r>
        <w:t>资源计划不仅是“有多少人和机器”，还要明确“谁负责什么、什么时候用什么资源、资源如何切换”。对于本项目来说，最关键的资源是稳定的开发节奏、统一的数据模型和持续的文档一致性。</w:t>
      </w:r>
    </w:p>
    <w:p>
      <w:pPr>
        <w:pStyle w:val="BodyText"/>
      </w:pPr>
      <w:r>
        <w:t>由于团队只有 3 人，资源计划还承担着降低协作风险的作用。每名成员都需要知道自己的主要交付物，也需要了解其他成员的依赖关系。例如，需求分析结果会影响全栈开发的模块划分，数据库和部署配置会影响运维测试的演示准备，质量检查结果又会反向影响报告修改和功能收尾。</w:t>
      </w:r>
    </w:p>
    <w:p>
      <w:pPr>
        <w:pStyle w:val="BodyText"/>
      </w:pPr>
      <w:r>
        <w:t>总体来看，本项目资源数量不多，但资源类型较完整。只要能够合理使用 Codex 类工具、云数据库、本地开发环境和现有设计文档，就可以在有限时间内完成课程报告和演示原型的交付。</w:t>
      </w:r>
    </w:p>
    <w:p>
      <w:pPr>
        <w:pStyle w:val="BodyText"/>
      </w:pPr>
      <w:r>
        <w:t>资源计划最终要服务于真实业务闭环：资料要能进入 Workspace，资源要能绑定到 Workbench，知识块要能支撑检索和问答，学习事件要能支撑画像和计划，生成物要能保存并再次作为资料使用。后续资源调度应优先保障这些链路，而不是平均分配到所有设想功能。</w:t>
      </w:r>
    </w:p>
    <w:p>
      <w:pPr>
        <w:pStyle w:val="Heading1"/>
        <w:pageBreakBefore/>
        <w:keepNext/>
      </w:pPr>
      <w:r>
        <w:t>04 进度计划</w:t>
      </w:r>
    </w:p>
    <w:p>
      <w:pPr>
        <w:pStyle w:val="Heading2"/>
        <w:keepNext/>
      </w:pPr>
      <w:r>
        <w:t>一、进度计划说明</w:t>
      </w:r>
    </w:p>
    <w:p>
      <w:pPr>
        <w:pStyle w:val="BodyText"/>
      </w:pPr>
      <w:r>
        <w:t>本项目的进度计划以 2026 年 3 月 1 日到 2026 年 6 月 17 日为课程交付窗口，按“先立项、再核心功能、再智能能力、最后收尾”的顺序推进。</w:t>
      </w:r>
    </w:p>
    <w:p>
      <w:pPr>
        <w:pStyle w:val="BodyText"/>
      </w:pPr>
      <w:r>
        <w:t>进度计划同时服务于两个目标：一是保证软件杯项目原型能够形成可演示的主流程，二是保证软件项目管理课程要求的 11 份报告能够按统一口径完成。由于两类交付物相互关联，进度安排不能只关注代码开发，还必须把需求文档、测试记录、截图材料、答辩脚本和报告修订纳入同一计划。</w:t>
      </w:r>
    </w:p>
    <w:p>
      <w:pPr>
        <w:pStyle w:val="Heading2"/>
        <w:keepNext/>
      </w:pPr>
      <w:r>
        <w:t>二、工作执行顺序</w:t>
      </w:r>
    </w:p>
    <w:p>
      <w:pPr>
        <w:pStyle w:val="BodyText"/>
        <w:numPr>
          <w:ilvl w:val="0"/>
          <w:numId w:val="2"/>
        </w:numPr>
      </w:pPr>
      <w:r>
        <w:t>需求梳理与范围确认。</w:t>
      </w:r>
    </w:p>
    <w:p>
      <w:pPr>
        <w:pStyle w:val="BodyText"/>
        <w:numPr>
          <w:ilvl w:val="0"/>
          <w:numId w:val="2"/>
        </w:numPr>
      </w:pPr>
      <w:r>
        <w:t>数据模型和基础架构搭建。</w:t>
      </w:r>
    </w:p>
    <w:p>
      <w:pPr>
        <w:pStyle w:val="BodyText"/>
        <w:numPr>
          <w:ilvl w:val="0"/>
          <w:numId w:val="2"/>
        </w:numPr>
      </w:pPr>
      <w:r>
        <w:t>课程空间、学习现场、资料库等核心业务实现。</w:t>
      </w:r>
    </w:p>
    <w:p>
      <w:pPr>
        <w:pStyle w:val="BodyText"/>
        <w:numPr>
          <w:ilvl w:val="0"/>
          <w:numId w:val="2"/>
        </w:numPr>
      </w:pPr>
      <w:r>
        <w:t>AI Terminal、知识图谱、学习规划、学习画像等智能能力接入。</w:t>
      </w:r>
    </w:p>
    <w:p>
      <w:pPr>
        <w:pStyle w:val="BodyText"/>
        <w:numPr>
          <w:ilvl w:val="0"/>
          <w:numId w:val="2"/>
        </w:numPr>
      </w:pPr>
      <w:r>
        <w:t>测试、修复、文档和演示材料整理。</w:t>
      </w:r>
    </w:p>
    <w:p>
      <w:pPr>
        <w:pStyle w:val="BodyText"/>
      </w:pPr>
      <w:r>
        <w:t>在执行过程中，每一阶段都需要形成可检查的中间产物。需求阶段输出范围清单和模块边界，架构阶段输出数据模型和接口草案，核心业务阶段输出可运行主流程，智能能力阶段输出可演示功能点，收尾阶段输出报告、截图、PPT 和演示路径。只有产物可检查，进度状态才不只是主观描述。</w:t>
      </w:r>
    </w:p>
    <w:p>
      <w:pPr>
        <w:pStyle w:val="BodyText"/>
      </w:pPr>
      <w:r>
        <w:t>本项目的进度检查应围绕真实用户流程设置，而不是只看模块名称是否写完。第一条检查线是“登录 -&gt; Workspace Shell -&gt; 添加资料 -&gt; AI Terminal -&gt; Workbench -&gt; 保存生成物”；第二条检查线是“资料库 -&gt; 知识索引 -&gt; 检索问答 -&gt; 知识图谱/学习规划”；第三条检查线是“Workbench 多面板 -&gt; AI Studio -&gt; 测验/闪卡/可视化资源 -&gt; 回写资料库”。这些链路能跑通，进度才具有产品意义。</w:t>
      </w:r>
    </w:p>
    <w:p>
      <w:pPr>
        <w:pStyle w:val="Heading2"/>
        <w:keepNext/>
      </w:pPr>
      <w:r>
        <w:t>三、阶段计划</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900"/>
        <w:gridCol w:w="1900"/>
        <w:gridCol w:w="1900"/>
        <w:gridCol w:w="3660"/>
      </w:tblGrid>
      <w:tr>
        <w:tc>
          <w:tcPr>
            <w:tcW w:w="1900" w:type="dxa"/>
            <w:shd w:fill="F2F4F7"/>
            <w:vAlign w:val="center"/>
          </w:tcPr>
          <w:p>
            <w:pPr>
              <w:pStyle w:val="TableText"/>
              <w:spacing w:after="0"/>
            </w:pPr>
            <w:r>
              <w:rPr>
                <w:b/>
              </w:rPr>
              <w:t>阶段</w:t>
            </w:r>
          </w:p>
        </w:tc>
        <w:tc>
          <w:tcPr>
            <w:tcW w:w="1900" w:type="dxa"/>
            <w:shd w:fill="F2F4F7"/>
            <w:vAlign w:val="center"/>
          </w:tcPr>
          <w:p>
            <w:pPr>
              <w:pStyle w:val="TableText"/>
              <w:spacing w:after="0"/>
            </w:pPr>
            <w:r>
              <w:rPr>
                <w:b/>
              </w:rPr>
              <w:t>任务</w:t>
            </w:r>
          </w:p>
        </w:tc>
        <w:tc>
          <w:tcPr>
            <w:tcW w:w="1900" w:type="dxa"/>
            <w:shd w:fill="F2F4F7"/>
            <w:vAlign w:val="center"/>
          </w:tcPr>
          <w:p>
            <w:pPr>
              <w:pStyle w:val="TableText"/>
              <w:spacing w:after="0"/>
            </w:pPr>
            <w:r>
              <w:rPr>
                <w:b/>
              </w:rPr>
              <w:t>起止时间</w:t>
            </w:r>
          </w:p>
        </w:tc>
        <w:tc>
          <w:tcPr>
            <w:tcW w:w="3660" w:type="dxa"/>
            <w:shd w:fill="F2F4F7"/>
            <w:vAlign w:val="center"/>
          </w:tcPr>
          <w:p>
            <w:pPr>
              <w:pStyle w:val="TableText"/>
              <w:spacing w:after="0"/>
            </w:pPr>
            <w:r>
              <w:rPr>
                <w:b/>
              </w:rPr>
              <w:t>依赖关系</w:t>
            </w:r>
          </w:p>
        </w:tc>
      </w:tr>
      <w:tr>
        <w:tc>
          <w:tcPr>
            <w:tcW w:w="1900" w:type="dxa"/>
            <w:vAlign w:val="center"/>
          </w:tcPr>
          <w:p>
            <w:pPr>
              <w:pStyle w:val="TableText"/>
              <w:spacing w:after="0"/>
            </w:pPr>
            <w:r>
              <w:t>立项阶段</w:t>
            </w:r>
          </w:p>
        </w:tc>
        <w:tc>
          <w:tcPr>
            <w:tcW w:w="1900" w:type="dxa"/>
            <w:vAlign w:val="center"/>
          </w:tcPr>
          <w:p>
            <w:pPr>
              <w:pStyle w:val="TableText"/>
              <w:spacing w:after="0"/>
            </w:pPr>
            <w:r>
              <w:t>需求分析、范围裁剪、WBS</w:t>
            </w:r>
          </w:p>
        </w:tc>
        <w:tc>
          <w:tcPr>
            <w:tcW w:w="1900" w:type="dxa"/>
            <w:vAlign w:val="center"/>
          </w:tcPr>
          <w:p>
            <w:pPr>
              <w:pStyle w:val="TableText"/>
              <w:spacing w:after="0"/>
            </w:pPr>
            <w:r>
              <w:t>2026-03-01 至 2026-03-10</w:t>
            </w:r>
          </w:p>
        </w:tc>
        <w:tc>
          <w:tcPr>
            <w:tcW w:w="3660" w:type="dxa"/>
            <w:vAlign w:val="center"/>
          </w:tcPr>
          <w:p>
            <w:pPr>
              <w:pStyle w:val="TableText"/>
              <w:spacing w:after="0"/>
            </w:pPr>
            <w:r>
              <w:t>无</w:t>
            </w:r>
          </w:p>
        </w:tc>
      </w:tr>
      <w:tr>
        <w:tc>
          <w:tcPr>
            <w:tcW w:w="1900" w:type="dxa"/>
            <w:vAlign w:val="center"/>
          </w:tcPr>
          <w:p>
            <w:pPr>
              <w:pStyle w:val="TableText"/>
              <w:spacing w:after="0"/>
            </w:pPr>
            <w:r>
              <w:t>基础架构阶段</w:t>
            </w:r>
          </w:p>
        </w:tc>
        <w:tc>
          <w:tcPr>
            <w:tcW w:w="1900" w:type="dxa"/>
            <w:vAlign w:val="center"/>
          </w:tcPr>
          <w:p>
            <w:pPr>
              <w:pStyle w:val="TableText"/>
              <w:spacing w:after="0"/>
            </w:pPr>
            <w:r>
              <w:t>前后端骨架、认证、数据库模型</w:t>
            </w:r>
          </w:p>
        </w:tc>
        <w:tc>
          <w:tcPr>
            <w:tcW w:w="1900" w:type="dxa"/>
            <w:vAlign w:val="center"/>
          </w:tcPr>
          <w:p>
            <w:pPr>
              <w:pStyle w:val="TableText"/>
              <w:spacing w:after="0"/>
            </w:pPr>
            <w:r>
              <w:t>2026-03-11 至 2026-03-25</w:t>
            </w:r>
          </w:p>
        </w:tc>
        <w:tc>
          <w:tcPr>
            <w:tcW w:w="3660" w:type="dxa"/>
            <w:vAlign w:val="center"/>
          </w:tcPr>
          <w:p>
            <w:pPr>
              <w:pStyle w:val="TableText"/>
              <w:spacing w:after="0"/>
            </w:pPr>
            <w:r>
              <w:t>立项阶段</w:t>
            </w:r>
          </w:p>
        </w:tc>
      </w:tr>
      <w:tr>
        <w:tc>
          <w:tcPr>
            <w:tcW w:w="1900" w:type="dxa"/>
            <w:vAlign w:val="center"/>
          </w:tcPr>
          <w:p>
            <w:pPr>
              <w:pStyle w:val="TableText"/>
              <w:spacing w:after="0"/>
            </w:pPr>
            <w:r>
              <w:t>核心业务阶段</w:t>
            </w:r>
          </w:p>
        </w:tc>
        <w:tc>
          <w:tcPr>
            <w:tcW w:w="1900" w:type="dxa"/>
            <w:vAlign w:val="center"/>
          </w:tcPr>
          <w:p>
            <w:pPr>
              <w:pStyle w:val="TableText"/>
              <w:spacing w:after="0"/>
            </w:pPr>
            <w:r>
              <w:t>Workspace、Workbench、资料库</w:t>
            </w:r>
          </w:p>
        </w:tc>
        <w:tc>
          <w:tcPr>
            <w:tcW w:w="1900" w:type="dxa"/>
            <w:vAlign w:val="center"/>
          </w:tcPr>
          <w:p>
            <w:pPr>
              <w:pStyle w:val="TableText"/>
              <w:spacing w:after="0"/>
            </w:pPr>
            <w:r>
              <w:t>2026-03-26 至 2026-04-15</w:t>
            </w:r>
          </w:p>
        </w:tc>
        <w:tc>
          <w:tcPr>
            <w:tcW w:w="3660" w:type="dxa"/>
            <w:vAlign w:val="center"/>
          </w:tcPr>
          <w:p>
            <w:pPr>
              <w:pStyle w:val="TableText"/>
              <w:spacing w:after="0"/>
            </w:pPr>
            <w:r>
              <w:t>基础架构阶段</w:t>
            </w:r>
          </w:p>
        </w:tc>
      </w:tr>
      <w:tr>
        <w:tc>
          <w:tcPr>
            <w:tcW w:w="1900" w:type="dxa"/>
            <w:vAlign w:val="center"/>
          </w:tcPr>
          <w:p>
            <w:pPr>
              <w:pStyle w:val="TableText"/>
              <w:spacing w:after="0"/>
            </w:pPr>
            <w:r>
              <w:t>智能能力阶段</w:t>
            </w:r>
          </w:p>
        </w:tc>
        <w:tc>
          <w:tcPr>
            <w:tcW w:w="1900" w:type="dxa"/>
            <w:vAlign w:val="center"/>
          </w:tcPr>
          <w:p>
            <w:pPr>
              <w:pStyle w:val="TableText"/>
              <w:spacing w:after="0"/>
            </w:pPr>
            <w:r>
              <w:t>AI Terminal、检索、知识图谱、规划</w:t>
            </w:r>
          </w:p>
        </w:tc>
        <w:tc>
          <w:tcPr>
            <w:tcW w:w="1900" w:type="dxa"/>
            <w:vAlign w:val="center"/>
          </w:tcPr>
          <w:p>
            <w:pPr>
              <w:pStyle w:val="TableText"/>
              <w:spacing w:after="0"/>
            </w:pPr>
            <w:r>
              <w:t>2026-04-16 至 2026-05-20</w:t>
            </w:r>
          </w:p>
        </w:tc>
        <w:tc>
          <w:tcPr>
            <w:tcW w:w="3660" w:type="dxa"/>
            <w:vAlign w:val="center"/>
          </w:tcPr>
          <w:p>
            <w:pPr>
              <w:pStyle w:val="TableText"/>
              <w:spacing w:after="0"/>
            </w:pPr>
            <w:r>
              <w:t>核心业务阶段</w:t>
            </w:r>
          </w:p>
        </w:tc>
      </w:tr>
      <w:tr>
        <w:tc>
          <w:tcPr>
            <w:tcW w:w="1900" w:type="dxa"/>
            <w:vAlign w:val="center"/>
          </w:tcPr>
          <w:p>
            <w:pPr>
              <w:pStyle w:val="TableText"/>
              <w:spacing w:after="0"/>
            </w:pPr>
            <w:r>
              <w:t>扩展完善阶段</w:t>
            </w:r>
          </w:p>
        </w:tc>
        <w:tc>
          <w:tcPr>
            <w:tcW w:w="1900" w:type="dxa"/>
            <w:vAlign w:val="center"/>
          </w:tcPr>
          <w:p>
            <w:pPr>
              <w:pStyle w:val="TableText"/>
              <w:spacing w:after="0"/>
            </w:pPr>
            <w:r>
              <w:t>学习画像、Studio、多模态分析、Agent</w:t>
            </w:r>
          </w:p>
        </w:tc>
        <w:tc>
          <w:tcPr>
            <w:tcW w:w="1900" w:type="dxa"/>
            <w:vAlign w:val="center"/>
          </w:tcPr>
          <w:p>
            <w:pPr>
              <w:pStyle w:val="TableText"/>
              <w:spacing w:after="0"/>
            </w:pPr>
            <w:r>
              <w:t>2026-05-21 至 2026-06-10</w:t>
            </w:r>
          </w:p>
        </w:tc>
        <w:tc>
          <w:tcPr>
            <w:tcW w:w="3660" w:type="dxa"/>
            <w:vAlign w:val="center"/>
          </w:tcPr>
          <w:p>
            <w:pPr>
              <w:pStyle w:val="TableText"/>
              <w:spacing w:after="0"/>
            </w:pPr>
            <w:r>
              <w:t>智能能力阶段</w:t>
            </w:r>
          </w:p>
        </w:tc>
      </w:tr>
      <w:tr>
        <w:tc>
          <w:tcPr>
            <w:tcW w:w="1900" w:type="dxa"/>
            <w:vAlign w:val="center"/>
          </w:tcPr>
          <w:p>
            <w:pPr>
              <w:pStyle w:val="TableText"/>
              <w:spacing w:after="0"/>
            </w:pPr>
            <w:r>
              <w:t>收尾阶段</w:t>
            </w:r>
          </w:p>
        </w:tc>
        <w:tc>
          <w:tcPr>
            <w:tcW w:w="1900" w:type="dxa"/>
            <w:vAlign w:val="center"/>
          </w:tcPr>
          <w:p>
            <w:pPr>
              <w:pStyle w:val="TableText"/>
              <w:spacing w:after="0"/>
            </w:pPr>
            <w:r>
              <w:t>测试、文档、截图、答辩稿</w:t>
            </w:r>
          </w:p>
        </w:tc>
        <w:tc>
          <w:tcPr>
            <w:tcW w:w="1900" w:type="dxa"/>
            <w:vAlign w:val="center"/>
          </w:tcPr>
          <w:p>
            <w:pPr>
              <w:pStyle w:val="TableText"/>
              <w:spacing w:after="0"/>
            </w:pPr>
            <w:r>
              <w:t>2026-06-11 至 2026-06-17</w:t>
            </w:r>
          </w:p>
        </w:tc>
        <w:tc>
          <w:tcPr>
            <w:tcW w:w="3660" w:type="dxa"/>
            <w:vAlign w:val="center"/>
          </w:tcPr>
          <w:p>
            <w:pPr>
              <w:pStyle w:val="TableText"/>
              <w:spacing w:after="0"/>
            </w:pPr>
            <w:r>
              <w:t>全部阶段</w:t>
            </w:r>
          </w:p>
        </w:tc>
      </w:tr>
    </w:tbl>
    <w:p>
      <w:pPr>
        <w:pStyle w:val="BodyText"/>
        <w:spacing w:after="80"/>
      </w:pPr>
    </w:p>
    <w:p>
      <w:pPr>
        <w:pStyle w:val="BodyText"/>
      </w:pPr>
      <w:r>
        <w:t>阶段计划中的时间并非平均分配，而是按照风险和依赖关系设置。基础架构阶段必须尽早完成，因为后续所有功能都依赖账号、路由、数据库和接口骨架。智能能力阶段时间较长，是因为知识图谱、检索、AI Terminal 和学习规划都需要联调外部服务或复杂数据结构。收尾阶段虽然时间短，但任务密度高，需要提前在前面阶段积累文档和测试材料。</w:t>
      </w:r>
    </w:p>
    <w:p>
      <w:pPr>
        <w:pStyle w:val="Heading2"/>
        <w:keepNext/>
      </w:pPr>
      <w:r>
        <w:t>四、里程碑清单</w:t>
      </w:r>
    </w:p>
    <w:p>
      <w:pPr>
        <w:pStyle w:val="BodyText"/>
        <w:numPr>
          <w:ilvl w:val="0"/>
          <w:numId w:val="1"/>
        </w:numPr>
      </w:pPr>
      <w:r>
        <w:t>M1：完成课题背景、需求分析和范围裁剪。</w:t>
      </w:r>
    </w:p>
    <w:p>
      <w:pPr>
        <w:pStyle w:val="BodyText"/>
        <w:numPr>
          <w:ilvl w:val="0"/>
          <w:numId w:val="1"/>
        </w:numPr>
      </w:pPr>
      <w:r>
        <w:t>M2：完成基础数据模型与接口骨架。</w:t>
      </w:r>
    </w:p>
    <w:p>
      <w:pPr>
        <w:pStyle w:val="BodyText"/>
        <w:numPr>
          <w:ilvl w:val="0"/>
          <w:numId w:val="1"/>
        </w:numPr>
      </w:pPr>
      <w:r>
        <w:t>M3：完成课程空间与学习现场的主流程。</w:t>
      </w:r>
    </w:p>
    <w:p>
      <w:pPr>
        <w:pStyle w:val="BodyText"/>
        <w:numPr>
          <w:ilvl w:val="0"/>
          <w:numId w:val="1"/>
        </w:numPr>
      </w:pPr>
      <w:r>
        <w:t>M4：完成知识图谱、规划和 AI Terminal 的联动。</w:t>
      </w:r>
    </w:p>
    <w:p>
      <w:pPr>
        <w:pStyle w:val="BodyText"/>
        <w:numPr>
          <w:ilvl w:val="0"/>
          <w:numId w:val="1"/>
        </w:numPr>
      </w:pPr>
      <w:r>
        <w:t>M5：完成课程报告和演示材料。</w:t>
      </w:r>
    </w:p>
    <w:p>
      <w:pPr>
        <w:pStyle w:val="BodyText"/>
      </w:pPr>
      <w:r>
        <w:t>每个里程碑应对应明确验收标准。M1 的标准是项目名称、用户对象、核心需求和不做事项都能说清楚；M2 的标准是主要数据实体和接口方向稳定；M3 的标准是用户能够进入课程空间并完成学习现场和资料管理主流程；M4 的标准是至少有一条智能能力能够基于资料和学习场景产生结果；M5 的标准是系统、报告、截图和答辩材料口径一致。</w:t>
      </w:r>
    </w:p>
    <w:p>
      <w:pPr>
        <w:pStyle w:val="BodyText"/>
      </w:pPr>
      <w:r>
        <w:t>里程碑也应绑定具体页面和功能。M3 不仅表示“核心业务完成”，还应能打开 Workspace Shell 的 Workbenches 和 Knowledge 标签页，创建 Workbench 并绑定资料；M4 不仅表示“智能能力完成”，还应能在 AI Terminal 或 AI 助手中基于资料回答问题，能展示 Knowledge Graph 或 Planning 的结果；M5 不仅表示“文档完成”，还应能按答辩脚本连续演示上述流程。</w:t>
      </w:r>
    </w:p>
    <w:p>
      <w:pPr>
        <w:pStyle w:val="Heading2"/>
        <w:keepNext/>
      </w:pPr>
      <w:r>
        <w:t>五、项目进度网络关系</w:t>
      </w:r>
    </w:p>
    <w:p>
      <w:pPr>
        <w:pStyle w:val="BodyText"/>
      </w:pPr>
      <w:r>
        <w:t>项目关键依赖关系如下：</w:t>
      </w:r>
    </w:p>
    <w:p>
      <w:pPr>
        <w:pStyle w:val="CodeBlock"/>
        <w:spacing w:after="0"/>
      </w:pPr>
      <w:r>
        <w:t>需求分析</w:t>
      </w:r>
    </w:p>
    <w:p>
      <w:pPr>
        <w:pStyle w:val="CodeBlock"/>
        <w:spacing w:after="0"/>
      </w:pPr>
      <w:r>
        <w:t xml:space="preserve">  -&gt; 架构与数据库建模</w:t>
      </w:r>
    </w:p>
    <w:p>
      <w:pPr>
        <w:pStyle w:val="CodeBlock"/>
        <w:spacing w:after="0"/>
      </w:pPr>
      <w:r>
        <w:t xml:space="preserve">  -&gt; 账号/Workspace/Workbench 主流程</w:t>
      </w:r>
    </w:p>
    <w:p>
      <w:pPr>
        <w:pStyle w:val="CodeBlock"/>
        <w:spacing w:after="0"/>
      </w:pPr>
      <w:r>
        <w:t xml:space="preserve">  -&gt; 资料库与检索能力</w:t>
      </w:r>
    </w:p>
    <w:p>
      <w:pPr>
        <w:pStyle w:val="CodeBlock"/>
        <w:spacing w:after="0"/>
      </w:pPr>
      <w:r>
        <w:t xml:space="preserve">  -&gt; 知识图谱/学习规划/AI Terminal</w:t>
      </w:r>
    </w:p>
    <w:p>
      <w:pPr>
        <w:pStyle w:val="CodeBlock"/>
        <w:spacing w:after="0"/>
      </w:pPr>
      <w:r>
        <w:t xml:space="preserve">  -&gt; 学习画像/AI Studio/多模态扩展</w:t>
      </w:r>
    </w:p>
    <w:p>
      <w:pPr>
        <w:pStyle w:val="CodeBlock"/>
        <w:spacing w:after="0"/>
      </w:pPr>
      <w:r>
        <w:t xml:space="preserve">  -&gt; 测试回归/课程报告/答辩材料</w:t>
      </w:r>
    </w:p>
    <w:p>
      <w:pPr>
        <w:pStyle w:val="BodyText"/>
      </w:pPr>
      <w:r>
        <w:t>其中，“资料库与检索能力”是后续知识图谱、AI Terminal 和学习规划的共同前置条件；“测试回归/课程报告/答辩材料”依赖全部核心功能完成后进入冻结。</w:t>
      </w:r>
    </w:p>
    <w:p>
      <w:pPr>
        <w:pStyle w:val="Heading2"/>
        <w:keepNext/>
      </w:pPr>
      <w:r>
        <w:t>六、项目进度表</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900"/>
        <w:gridCol w:w="1900"/>
        <w:gridCol w:w="1900"/>
        <w:gridCol w:w="3660"/>
      </w:tblGrid>
      <w:tr>
        <w:tc>
          <w:tcPr>
            <w:tcW w:w="1900" w:type="dxa"/>
            <w:shd w:fill="F2F4F7"/>
            <w:vAlign w:val="center"/>
          </w:tcPr>
          <w:p>
            <w:pPr>
              <w:pStyle w:val="TableText"/>
              <w:spacing w:after="0"/>
            </w:pPr>
            <w:r>
              <w:rPr>
                <w:b/>
              </w:rPr>
              <w:t>任务包</w:t>
            </w:r>
          </w:p>
        </w:tc>
        <w:tc>
          <w:tcPr>
            <w:tcW w:w="1900" w:type="dxa"/>
            <w:shd w:fill="F2F4F7"/>
            <w:vAlign w:val="center"/>
          </w:tcPr>
          <w:p>
            <w:pPr>
              <w:pStyle w:val="TableText"/>
              <w:spacing w:after="0"/>
            </w:pPr>
            <w:r>
              <w:rPr>
                <w:b/>
              </w:rPr>
              <w:t>预计开始</w:t>
            </w:r>
          </w:p>
        </w:tc>
        <w:tc>
          <w:tcPr>
            <w:tcW w:w="1900" w:type="dxa"/>
            <w:shd w:fill="F2F4F7"/>
            <w:vAlign w:val="center"/>
          </w:tcPr>
          <w:p>
            <w:pPr>
              <w:pStyle w:val="TableText"/>
              <w:spacing w:after="0"/>
            </w:pPr>
            <w:r>
              <w:rPr>
                <w:b/>
              </w:rPr>
              <w:t>预计完成</w:t>
            </w:r>
          </w:p>
        </w:tc>
        <w:tc>
          <w:tcPr>
            <w:tcW w:w="3660" w:type="dxa"/>
            <w:shd w:fill="F2F4F7"/>
            <w:vAlign w:val="center"/>
          </w:tcPr>
          <w:p>
            <w:pPr>
              <w:pStyle w:val="TableText"/>
              <w:spacing w:after="0"/>
            </w:pPr>
            <w:r>
              <w:rPr>
                <w:b/>
              </w:rPr>
              <w:t>关键输出</w:t>
            </w:r>
          </w:p>
        </w:tc>
      </w:tr>
      <w:tr>
        <w:tc>
          <w:tcPr>
            <w:tcW w:w="1900" w:type="dxa"/>
            <w:vAlign w:val="center"/>
          </w:tcPr>
          <w:p>
            <w:pPr>
              <w:pStyle w:val="TableText"/>
              <w:spacing w:after="0"/>
            </w:pPr>
            <w:r>
              <w:t>需求与 WBS</w:t>
            </w:r>
          </w:p>
        </w:tc>
        <w:tc>
          <w:tcPr>
            <w:tcW w:w="1900" w:type="dxa"/>
            <w:vAlign w:val="center"/>
          </w:tcPr>
          <w:p>
            <w:pPr>
              <w:pStyle w:val="TableText"/>
              <w:spacing w:after="0"/>
            </w:pPr>
            <w:r>
              <w:t>2026-03-01</w:t>
            </w:r>
          </w:p>
        </w:tc>
        <w:tc>
          <w:tcPr>
            <w:tcW w:w="1900" w:type="dxa"/>
            <w:vAlign w:val="center"/>
          </w:tcPr>
          <w:p>
            <w:pPr>
              <w:pStyle w:val="TableText"/>
              <w:spacing w:after="0"/>
            </w:pPr>
            <w:r>
              <w:t>2026-03-10</w:t>
            </w:r>
          </w:p>
        </w:tc>
        <w:tc>
          <w:tcPr>
            <w:tcW w:w="3660" w:type="dxa"/>
            <w:vAlign w:val="center"/>
          </w:tcPr>
          <w:p>
            <w:pPr>
              <w:pStyle w:val="TableText"/>
              <w:spacing w:after="0"/>
            </w:pPr>
            <w:r>
              <w:t>需求清单、WBS、风险初稿</w:t>
            </w:r>
          </w:p>
        </w:tc>
      </w:tr>
      <w:tr>
        <w:tc>
          <w:tcPr>
            <w:tcW w:w="1900" w:type="dxa"/>
            <w:vAlign w:val="center"/>
          </w:tcPr>
          <w:p>
            <w:pPr>
              <w:pStyle w:val="TableText"/>
              <w:spacing w:after="0"/>
            </w:pPr>
            <w:r>
              <w:t>架构与建模</w:t>
            </w:r>
          </w:p>
        </w:tc>
        <w:tc>
          <w:tcPr>
            <w:tcW w:w="1900" w:type="dxa"/>
            <w:vAlign w:val="center"/>
          </w:tcPr>
          <w:p>
            <w:pPr>
              <w:pStyle w:val="TableText"/>
              <w:spacing w:after="0"/>
            </w:pPr>
            <w:r>
              <w:t>2026-03-11</w:t>
            </w:r>
          </w:p>
        </w:tc>
        <w:tc>
          <w:tcPr>
            <w:tcW w:w="1900" w:type="dxa"/>
            <w:vAlign w:val="center"/>
          </w:tcPr>
          <w:p>
            <w:pPr>
              <w:pStyle w:val="TableText"/>
              <w:spacing w:after="0"/>
            </w:pPr>
            <w:r>
              <w:t>2026-03-25</w:t>
            </w:r>
          </w:p>
        </w:tc>
        <w:tc>
          <w:tcPr>
            <w:tcW w:w="3660" w:type="dxa"/>
            <w:vAlign w:val="center"/>
          </w:tcPr>
          <w:p>
            <w:pPr>
              <w:pStyle w:val="TableText"/>
              <w:spacing w:after="0"/>
            </w:pPr>
            <w:r>
              <w:t>数据模型、接口草案</w:t>
            </w:r>
          </w:p>
        </w:tc>
      </w:tr>
      <w:tr>
        <w:tc>
          <w:tcPr>
            <w:tcW w:w="1900" w:type="dxa"/>
            <w:vAlign w:val="center"/>
          </w:tcPr>
          <w:p>
            <w:pPr>
              <w:pStyle w:val="TableText"/>
              <w:spacing w:after="0"/>
            </w:pPr>
            <w:r>
              <w:t>核心功能</w:t>
            </w:r>
          </w:p>
        </w:tc>
        <w:tc>
          <w:tcPr>
            <w:tcW w:w="1900" w:type="dxa"/>
            <w:vAlign w:val="center"/>
          </w:tcPr>
          <w:p>
            <w:pPr>
              <w:pStyle w:val="TableText"/>
              <w:spacing w:after="0"/>
            </w:pPr>
            <w:r>
              <w:t>2026-03-26</w:t>
            </w:r>
          </w:p>
        </w:tc>
        <w:tc>
          <w:tcPr>
            <w:tcW w:w="1900" w:type="dxa"/>
            <w:vAlign w:val="center"/>
          </w:tcPr>
          <w:p>
            <w:pPr>
              <w:pStyle w:val="TableText"/>
              <w:spacing w:after="0"/>
            </w:pPr>
            <w:r>
              <w:t>2026-04-15</w:t>
            </w:r>
          </w:p>
        </w:tc>
        <w:tc>
          <w:tcPr>
            <w:tcW w:w="3660" w:type="dxa"/>
            <w:vAlign w:val="center"/>
          </w:tcPr>
          <w:p>
            <w:pPr>
              <w:pStyle w:val="TableText"/>
              <w:spacing w:after="0"/>
            </w:pPr>
            <w:r>
              <w:t>Workspace/Workbench/资料库</w:t>
            </w:r>
          </w:p>
        </w:tc>
      </w:tr>
      <w:tr>
        <w:tc>
          <w:tcPr>
            <w:tcW w:w="1900" w:type="dxa"/>
            <w:vAlign w:val="center"/>
          </w:tcPr>
          <w:p>
            <w:pPr>
              <w:pStyle w:val="TableText"/>
              <w:spacing w:after="0"/>
            </w:pPr>
            <w:r>
              <w:t>智能功能</w:t>
            </w:r>
          </w:p>
        </w:tc>
        <w:tc>
          <w:tcPr>
            <w:tcW w:w="1900" w:type="dxa"/>
            <w:vAlign w:val="center"/>
          </w:tcPr>
          <w:p>
            <w:pPr>
              <w:pStyle w:val="TableText"/>
              <w:spacing w:after="0"/>
            </w:pPr>
            <w:r>
              <w:t>2026-04-16</w:t>
            </w:r>
          </w:p>
        </w:tc>
        <w:tc>
          <w:tcPr>
            <w:tcW w:w="1900" w:type="dxa"/>
            <w:vAlign w:val="center"/>
          </w:tcPr>
          <w:p>
            <w:pPr>
              <w:pStyle w:val="TableText"/>
              <w:spacing w:after="0"/>
            </w:pPr>
            <w:r>
              <w:t>2026-05-20</w:t>
            </w:r>
          </w:p>
        </w:tc>
        <w:tc>
          <w:tcPr>
            <w:tcW w:w="3660" w:type="dxa"/>
            <w:vAlign w:val="center"/>
          </w:tcPr>
          <w:p>
            <w:pPr>
              <w:pStyle w:val="TableText"/>
              <w:spacing w:after="0"/>
            </w:pPr>
            <w:r>
              <w:t>图谱、规划、AI Terminal</w:t>
            </w:r>
          </w:p>
        </w:tc>
      </w:tr>
      <w:tr>
        <w:tc>
          <w:tcPr>
            <w:tcW w:w="1900" w:type="dxa"/>
            <w:vAlign w:val="center"/>
          </w:tcPr>
          <w:p>
            <w:pPr>
              <w:pStyle w:val="TableText"/>
              <w:spacing w:after="0"/>
            </w:pPr>
            <w:r>
              <w:t>扩展能力</w:t>
            </w:r>
          </w:p>
        </w:tc>
        <w:tc>
          <w:tcPr>
            <w:tcW w:w="1900" w:type="dxa"/>
            <w:vAlign w:val="center"/>
          </w:tcPr>
          <w:p>
            <w:pPr>
              <w:pStyle w:val="TableText"/>
              <w:spacing w:after="0"/>
            </w:pPr>
            <w:r>
              <w:t>2026-05-21</w:t>
            </w:r>
          </w:p>
        </w:tc>
        <w:tc>
          <w:tcPr>
            <w:tcW w:w="1900" w:type="dxa"/>
            <w:vAlign w:val="center"/>
          </w:tcPr>
          <w:p>
            <w:pPr>
              <w:pStyle w:val="TableText"/>
              <w:spacing w:after="0"/>
            </w:pPr>
            <w:r>
              <w:t>2026-06-10</w:t>
            </w:r>
          </w:p>
        </w:tc>
        <w:tc>
          <w:tcPr>
            <w:tcW w:w="3660" w:type="dxa"/>
            <w:vAlign w:val="center"/>
          </w:tcPr>
          <w:p>
            <w:pPr>
              <w:pStyle w:val="TableText"/>
              <w:spacing w:after="0"/>
            </w:pPr>
            <w:r>
              <w:t>学习画像、Studio、多模态</w:t>
            </w:r>
          </w:p>
        </w:tc>
      </w:tr>
      <w:tr>
        <w:tc>
          <w:tcPr>
            <w:tcW w:w="1900" w:type="dxa"/>
            <w:vAlign w:val="center"/>
          </w:tcPr>
          <w:p>
            <w:pPr>
              <w:pStyle w:val="TableText"/>
              <w:spacing w:after="0"/>
            </w:pPr>
            <w:r>
              <w:t>文档收尾</w:t>
            </w:r>
          </w:p>
        </w:tc>
        <w:tc>
          <w:tcPr>
            <w:tcW w:w="1900" w:type="dxa"/>
            <w:vAlign w:val="center"/>
          </w:tcPr>
          <w:p>
            <w:pPr>
              <w:pStyle w:val="TableText"/>
              <w:spacing w:after="0"/>
            </w:pPr>
            <w:r>
              <w:t>2026-06-11</w:t>
            </w:r>
          </w:p>
        </w:tc>
        <w:tc>
          <w:tcPr>
            <w:tcW w:w="1900" w:type="dxa"/>
            <w:vAlign w:val="center"/>
          </w:tcPr>
          <w:p>
            <w:pPr>
              <w:pStyle w:val="TableText"/>
              <w:spacing w:after="0"/>
            </w:pPr>
            <w:r>
              <w:t>2026-06-17</w:t>
            </w:r>
          </w:p>
        </w:tc>
        <w:tc>
          <w:tcPr>
            <w:tcW w:w="3660" w:type="dxa"/>
            <w:vAlign w:val="center"/>
          </w:tcPr>
          <w:p>
            <w:pPr>
              <w:pStyle w:val="TableText"/>
              <w:spacing w:after="0"/>
            </w:pPr>
            <w:r>
              <w:t>11 份课程报告、PPT、说明</w:t>
            </w:r>
          </w:p>
        </w:tc>
      </w:tr>
    </w:tbl>
    <w:p>
      <w:pPr>
        <w:pStyle w:val="BodyText"/>
        <w:spacing w:after="80"/>
      </w:pPr>
    </w:p>
    <w:p>
      <w:pPr>
        <w:pStyle w:val="BodyText"/>
      </w:pPr>
      <w:r>
        <w:t>进度表中的“文档收尾”不是最后才开始写文档，而是在最终阶段集中校对、补充和统一格式。前期应随开发同步记录需求变更、风险变化、测试问题和成本口径，否则最后阶段会出现大量回忆式补写，降低报告可信度。</w:t>
      </w:r>
    </w:p>
    <w:p>
      <w:pPr>
        <w:pStyle w:val="Heading2"/>
        <w:keepNext/>
      </w:pPr>
      <w:r>
        <w:t>七、项目进度基准</w:t>
      </w:r>
    </w:p>
    <w:p>
      <w:pPr>
        <w:pStyle w:val="BodyText"/>
      </w:pPr>
      <w:r>
        <w:t>本项目以 2026-06-17 作为课程提交基准日期。所有后续变更均按以下原则处理：</w:t>
      </w:r>
    </w:p>
    <w:p>
      <w:pPr>
        <w:pStyle w:val="BodyText"/>
        <w:numPr>
          <w:ilvl w:val="0"/>
          <w:numId w:val="1"/>
        </w:numPr>
      </w:pPr>
      <w:r>
        <w:t>不影响核心演示流程的增强项，可延期。</w:t>
      </w:r>
    </w:p>
    <w:p>
      <w:pPr>
        <w:pStyle w:val="BodyText"/>
        <w:numPr>
          <w:ilvl w:val="0"/>
          <w:numId w:val="1"/>
        </w:numPr>
      </w:pPr>
      <w:r>
        <w:t>影响报告一致性的内容，必须在提交前修正。</w:t>
      </w:r>
    </w:p>
    <w:p>
      <w:pPr>
        <w:pStyle w:val="BodyText"/>
        <w:numPr>
          <w:ilvl w:val="0"/>
          <w:numId w:val="1"/>
        </w:numPr>
      </w:pPr>
      <w:r>
        <w:t>影响系统启动和主流程演示的问题，优先级最高。</w:t>
      </w:r>
    </w:p>
    <w:p>
      <w:pPr>
        <w:pStyle w:val="BodyText"/>
        <w:numPr>
          <w:ilvl w:val="0"/>
          <w:numId w:val="1"/>
        </w:numPr>
      </w:pPr>
      <w:r>
        <w:t>与 3 人团队资源冲突的任务，优先按课程交付价值排序。</w:t>
      </w:r>
    </w:p>
    <w:p>
      <w:pPr>
        <w:pStyle w:val="BodyText"/>
        <w:numPr>
          <w:ilvl w:val="0"/>
          <w:numId w:val="1"/>
        </w:numPr>
      </w:pPr>
      <w:r>
        <w:t>依赖外部模型、云数据库或部署环境的任务，必须预留备用方案。</w:t>
      </w:r>
    </w:p>
    <w:p>
      <w:pPr>
        <w:pStyle w:val="BodyText"/>
      </w:pPr>
      <w:r>
        <w:t>进度基准一旦确定，就应作为范围控制和风险控制的依据。若新增功能无法在基准日期前完成测试和文档同步，则不应进入必交范围。对于已经完成但不稳定的功能，可以作为展示增强项处理，不强行纳入核心演示路径。</w:t>
      </w:r>
    </w:p>
    <w:p>
      <w:pPr>
        <w:pStyle w:val="Heading2"/>
        <w:keepNext/>
      </w:pPr>
      <w:r>
        <w:t>八、项目日历</w:t>
      </w:r>
    </w:p>
    <w:p>
      <w:pPr>
        <w:pStyle w:val="BodyText"/>
        <w:numPr>
          <w:ilvl w:val="0"/>
          <w:numId w:val="1"/>
        </w:numPr>
      </w:pPr>
      <w:r>
        <w:t>每周进行一次进度回顾。</w:t>
      </w:r>
    </w:p>
    <w:p>
      <w:pPr>
        <w:pStyle w:val="BodyText"/>
        <w:numPr>
          <w:ilvl w:val="0"/>
          <w:numId w:val="1"/>
        </w:numPr>
      </w:pPr>
      <w:r>
        <w:t>每个阶段结束前做一次里程碑检查。</w:t>
      </w:r>
    </w:p>
    <w:p>
      <w:pPr>
        <w:pStyle w:val="BodyText"/>
        <w:numPr>
          <w:ilvl w:val="0"/>
          <w:numId w:val="1"/>
        </w:numPr>
      </w:pPr>
      <w:r>
        <w:t>课程提交前一周进入冻结期，原则上不再新增大功能。</w:t>
      </w:r>
    </w:p>
    <w:p>
      <w:pPr>
        <w:pStyle w:val="BodyText"/>
        <w:numPr>
          <w:ilvl w:val="0"/>
          <w:numId w:val="1"/>
        </w:numPr>
      </w:pPr>
      <w:r>
        <w:t>6 月 17 日前完成最终提交材料整理。</w:t>
      </w:r>
    </w:p>
    <w:p>
      <w:pPr>
        <w:pStyle w:val="BodyText"/>
      </w:pPr>
      <w:r>
        <w:t>每周进度回顾建议固定检查四类问题：本周完成了什么、下周最重要的交付物是什么、当前最大的阻塞是什么、哪些文档需要同步修改。对于 3 人团队而言，会议不需要过长，但必须把任务状态说清楚，避免成员之间对完成度判断不一致。</w:t>
      </w:r>
    </w:p>
    <w:p>
      <w:pPr>
        <w:pStyle w:val="Heading2"/>
        <w:keepNext/>
      </w:pPr>
      <w:r>
        <w:t>九、进度控制计划</w:t>
      </w:r>
    </w:p>
    <w:p>
      <w:pPr>
        <w:pStyle w:val="BodyText"/>
      </w:pPr>
      <w:r>
        <w:t>进度控制重点关注：</w:t>
      </w:r>
    </w:p>
    <w:p>
      <w:pPr>
        <w:pStyle w:val="BodyText"/>
        <w:numPr>
          <w:ilvl w:val="0"/>
          <w:numId w:val="2"/>
        </w:numPr>
      </w:pPr>
      <w:r>
        <w:t>哪些工作是否按时完成。</w:t>
      </w:r>
    </w:p>
    <w:p>
      <w:pPr>
        <w:pStyle w:val="BodyText"/>
        <w:numPr>
          <w:ilvl w:val="0"/>
          <w:numId w:val="2"/>
        </w:numPr>
      </w:pPr>
      <w:r>
        <w:t>哪些模块存在依赖阻塞。</w:t>
      </w:r>
    </w:p>
    <w:p>
      <w:pPr>
        <w:pStyle w:val="BodyText"/>
        <w:numPr>
          <w:ilvl w:val="0"/>
          <w:numId w:val="2"/>
        </w:numPr>
      </w:pPr>
      <w:r>
        <w:t>评审和修改是否挤占最终提交时间。</w:t>
      </w:r>
    </w:p>
    <w:p>
      <w:pPr>
        <w:pStyle w:val="BodyText"/>
        <w:numPr>
          <w:ilvl w:val="0"/>
          <w:numId w:val="2"/>
        </w:numPr>
      </w:pPr>
      <w:r>
        <w:t>是否出现范围失控或重复开发。</w:t>
      </w:r>
    </w:p>
    <w:p>
      <w:pPr>
        <w:pStyle w:val="BodyText"/>
      </w:pPr>
      <w:r>
        <w:t>控制方法包括：</w:t>
      </w:r>
    </w:p>
    <w:p>
      <w:pPr>
        <w:pStyle w:val="BodyText"/>
        <w:numPr>
          <w:ilvl w:val="0"/>
          <w:numId w:val="1"/>
        </w:numPr>
      </w:pPr>
      <w:r>
        <w:t>每周检查任务状态。</w:t>
      </w:r>
    </w:p>
    <w:p>
      <w:pPr>
        <w:pStyle w:val="BodyText"/>
        <w:numPr>
          <w:ilvl w:val="0"/>
          <w:numId w:val="1"/>
        </w:numPr>
      </w:pPr>
      <w:r>
        <w:t>记录阻塞项和处理人。</w:t>
      </w:r>
    </w:p>
    <w:p>
      <w:pPr>
        <w:pStyle w:val="BodyText"/>
        <w:numPr>
          <w:ilvl w:val="0"/>
          <w:numId w:val="1"/>
        </w:numPr>
      </w:pPr>
      <w:r>
        <w:t>以里程碑为准，不以“看起来差不多”为准。</w:t>
      </w:r>
    </w:p>
    <w:p>
      <w:pPr>
        <w:pStyle w:val="BodyText"/>
        <w:numPr>
          <w:ilvl w:val="0"/>
          <w:numId w:val="1"/>
        </w:numPr>
      </w:pPr>
      <w:r>
        <w:t>发现延期时优先砍掉非核心增强项。</w:t>
      </w:r>
    </w:p>
    <w:p>
      <w:pPr>
        <w:pStyle w:val="BodyText"/>
        <w:numPr>
          <w:ilvl w:val="0"/>
          <w:numId w:val="1"/>
        </w:numPr>
      </w:pPr>
      <w:r>
        <w:t>使用核心演示链路作为进度判断标准，而不是只看功能数量。</w:t>
      </w:r>
    </w:p>
    <w:p>
      <w:pPr>
        <w:pStyle w:val="BodyText"/>
        <w:numPr>
          <w:ilvl w:val="0"/>
          <w:numId w:val="1"/>
        </w:numPr>
      </w:pPr>
      <w:r>
        <w:t>对 Codex 辅助生成的内容安排复核时间，避免后期集中返工。</w:t>
      </w:r>
    </w:p>
    <w:p>
      <w:pPr>
        <w:pStyle w:val="BodyText"/>
        <w:numPr>
          <w:ilvl w:val="0"/>
          <w:numId w:val="1"/>
        </w:numPr>
      </w:pPr>
      <w:r>
        <w:t>对阿里云数据库和部署环境设置检查点，提前发现配置问题。</w:t>
      </w:r>
    </w:p>
    <w:p>
      <w:pPr>
        <w:pStyle w:val="BodyText"/>
      </w:pPr>
      <w:r>
        <w:t>进度控制需要和风险管理联动。如果智能服务不稳定，就要及时切换到缓存数据或静态演示；如果文档来不及完整扩写，就要优先保证 11 份报告的结构、术语和关键数据一致；如果全栈开发任务过重，就要减少低优先级增强项，把资源集中到核心闭环。</w:t>
      </w:r>
    </w:p>
    <w:p>
      <w:pPr>
        <w:pStyle w:val="BodyText"/>
      </w:pPr>
      <w:r>
        <w:t>对于本项目，后期新增功能必须通过“是否增强核心学习闭环”来判断优先级。例如，修复 Workbench 状态保存、资料删除后面板同步关闭、AI Terminal 历史会话恢复、知识索引失败提示等问题，优先级高于新增一个没有测试的复杂视觉效果。因为前者直接影响用户连续学习体验，后者更多属于展示增强。</w:t>
      </w:r>
    </w:p>
    <w:p>
      <w:pPr>
        <w:pStyle w:val="Heading2"/>
        <w:keepNext/>
      </w:pPr>
      <w:r>
        <w:t>十、项目状态报告计划</w:t>
      </w:r>
    </w:p>
    <w:p>
      <w:pPr>
        <w:pStyle w:val="BodyText"/>
      </w:pPr>
      <w:r>
        <w:t>建议采用“周报 + 阶段复盘”的方式。</w:t>
      </w:r>
    </w:p>
    <w:p>
      <w:pPr>
        <w:pStyle w:val="BodyText"/>
        <w:numPr>
          <w:ilvl w:val="0"/>
          <w:numId w:val="1"/>
        </w:numPr>
      </w:pPr>
      <w:r>
        <w:t>周报内容：已完成事项、下周计划、阻塞问题、风险变化。</w:t>
      </w:r>
    </w:p>
    <w:p>
      <w:pPr>
        <w:pStyle w:val="BodyText"/>
        <w:numPr>
          <w:ilvl w:val="0"/>
          <w:numId w:val="1"/>
        </w:numPr>
      </w:pPr>
      <w:r>
        <w:t>阶段复盘：里程碑完成情况、需求变更、测试缺陷和文档一致性。</w:t>
      </w:r>
    </w:p>
    <w:p>
      <w:pPr>
        <w:pStyle w:val="BodyText"/>
      </w:pPr>
      <w:r>
        <w:t>状态报告不需要追求复杂格式，但要能反映真实进展。建议每次记录包含任务名称、负责人、当前状态、预计完成时间和需要支持的事项。对于课程报告相关工作，还应记录哪些报告已经完成初稿，哪些报告需要根据新功能或新成本口径修改。</w:t>
      </w:r>
    </w:p>
    <w:p>
      <w:pPr>
        <w:pStyle w:val="Heading2"/>
        <w:keepNext/>
      </w:pPr>
      <w:r>
        <w:t>十一、进度延误处理措施</w:t>
      </w:r>
    </w:p>
    <w:p>
      <w:pPr>
        <w:pStyle w:val="BodyText"/>
        <w:numPr>
          <w:ilvl w:val="0"/>
          <w:numId w:val="1"/>
        </w:numPr>
      </w:pPr>
      <w:r>
        <w:t>将延期任务拆小，优先完成可提交部分。</w:t>
      </w:r>
    </w:p>
    <w:p>
      <w:pPr>
        <w:pStyle w:val="BodyText"/>
        <w:numPr>
          <w:ilvl w:val="0"/>
          <w:numId w:val="1"/>
        </w:numPr>
      </w:pPr>
      <w:r>
        <w:t>对低优先级功能降级处理。</w:t>
      </w:r>
    </w:p>
    <w:p>
      <w:pPr>
        <w:pStyle w:val="BodyText"/>
        <w:numPr>
          <w:ilvl w:val="0"/>
          <w:numId w:val="1"/>
        </w:numPr>
      </w:pPr>
      <w:r>
        <w:t>文档与演示同步准备，避免最后一天集中爆炸。</w:t>
      </w:r>
    </w:p>
    <w:p>
      <w:pPr>
        <w:pStyle w:val="BodyText"/>
        <w:numPr>
          <w:ilvl w:val="0"/>
          <w:numId w:val="1"/>
        </w:numPr>
      </w:pPr>
      <w:r>
        <w:t>必要时冻结新增需求，确保提交节点。</w:t>
      </w:r>
    </w:p>
    <w:p>
      <w:pPr>
        <w:pStyle w:val="BodyText"/>
        <w:numPr>
          <w:ilvl w:val="0"/>
          <w:numId w:val="1"/>
        </w:numPr>
      </w:pPr>
      <w:r>
        <w:t>对依赖外部服务的功能准备本地替代数据。</w:t>
      </w:r>
    </w:p>
    <w:p>
      <w:pPr>
        <w:pStyle w:val="BodyText"/>
        <w:numPr>
          <w:ilvl w:val="0"/>
          <w:numId w:val="1"/>
        </w:numPr>
      </w:pPr>
      <w:r>
        <w:t>将报告扩写、截图、PPT 和演示脚本并行推进。</w:t>
      </w:r>
    </w:p>
    <w:p>
      <w:pPr>
        <w:pStyle w:val="BodyText"/>
        <w:numPr>
          <w:ilvl w:val="0"/>
          <w:numId w:val="1"/>
        </w:numPr>
      </w:pPr>
      <w:r>
        <w:t>对无法稳定演示的高级功能，改为在报告中说明设计思路和后续计划。</w:t>
      </w:r>
    </w:p>
    <w:p>
      <w:pPr>
        <w:pStyle w:val="BodyText"/>
      </w:pPr>
      <w:r>
        <w:t>延误处理的核心原则是保护最终交付。若某个模块已经明显无法按期完成，不应继续消耗大量时间追求完整实现，而应尽快确定可展示版本、降级方案和文档说明。这样可以避免单点延期拖垮整个项目。</w:t>
      </w:r>
    </w:p>
    <w:p>
      <w:pPr>
        <w:pStyle w:val="Heading2"/>
        <w:keepNext/>
      </w:pPr>
      <w:r>
        <w:t>十二、补充说明</w:t>
      </w:r>
    </w:p>
    <w:p>
      <w:pPr>
        <w:pStyle w:val="BodyText"/>
      </w:pPr>
      <w:r>
        <w:t>本项目的进度计划不是单纯的日历排期，而是把课程报告、实现与演示放在同一张时间表里。这样才能保证“项目一致性”而不是“代码一套、文档一套”。</w:t>
      </w:r>
    </w:p>
    <w:p>
      <w:pPr>
        <w:pStyle w:val="BodyText"/>
      </w:pPr>
      <w:r>
        <w:t>进度计划还应体现项目的真实组织特点。3 人团队虽然灵活，但抗风险能力相对有限，因此更需要清晰的里程碑、冻结机制和备用方案。只要按核心闭环推进，把增强功能控制在可承受范围内，项目可以在 2026-06-17 前完成课程提交和演示准备。</w:t>
      </w:r>
    </w:p>
    <w:p>
      <w:pPr>
        <w:pStyle w:val="Heading1"/>
        <w:pageBreakBefore/>
        <w:keepNext/>
      </w:pPr>
      <w:r>
        <w:t>05 成本计划</w:t>
      </w:r>
    </w:p>
    <w:p>
      <w:pPr>
        <w:pStyle w:val="Heading2"/>
        <w:keepNext/>
      </w:pPr>
      <w:r>
        <w:t>一、成本构成</w:t>
      </w:r>
    </w:p>
    <w:p>
      <w:pPr>
        <w:pStyle w:val="BodyText"/>
      </w:pPr>
      <w:r>
        <w:t>软件项目成本一般可分为人力资源成本、资产类成本、管理费用和项目特别费用，也可按直接成本与间接成本划分。本项目采用课程作业口径，重点估算开发与交付成本。</w:t>
      </w:r>
    </w:p>
    <w:p>
      <w:pPr>
        <w:pStyle w:val="BodyText"/>
      </w:pPr>
      <w:r>
        <w:t>由于本项目同时具有课程作业、软件杯参赛作品和实际原型系统三种属性，成本计划需要区分“课程估算成本”和“真实现金支出”。课程估算成本用于体现软件项目管理中的人力、资源、进度和风险投入，便于与进度计划、质量计划、风险计划形成对应关系；真实现金支出则主要包括 Codex 类大模型辅助开发产品、模型调用、服务器或服务机部署、云数据库和少量演示材料费用。</w:t>
      </w:r>
    </w:p>
    <w:p>
      <w:pPr>
        <w:pStyle w:val="BodyText"/>
      </w:pPr>
      <w:r>
        <w:t>从实际执行看，团队成员以学习、竞赛和课程交付为主要目标，没有按照企业项目方式支付薪酬，因此人力成本属于折算成本。现金成本可通过控制模型额度、复用个人开发设备、使用轻量云资源和选择合适的数据库规格来压缩，整体可以控制在 1500 元以内。报告中的较高预算数字主要用于课程管理分析，不代表项目真实已经支出的金额。</w:t>
      </w:r>
    </w:p>
    <w:p>
      <w:pPr>
        <w:pStyle w:val="Heading2"/>
        <w:keepNext/>
      </w:pPr>
      <w:r>
        <w:t>二、成本估算</w:t>
      </w:r>
    </w:p>
    <w:p>
      <w:pPr>
        <w:pStyle w:val="Heading3"/>
        <w:keepNext/>
      </w:pPr>
      <w:r>
        <w:t>1. 人力成本</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900"/>
        <w:gridCol w:w="1900"/>
        <w:gridCol w:w="1900"/>
        <w:gridCol w:w="3660"/>
      </w:tblGrid>
      <w:tr>
        <w:tc>
          <w:tcPr>
            <w:tcW w:w="1900" w:type="dxa"/>
            <w:shd w:fill="F2F4F7"/>
            <w:vAlign w:val="center"/>
          </w:tcPr>
          <w:p>
            <w:pPr>
              <w:pStyle w:val="TableText"/>
              <w:spacing w:after="0"/>
            </w:pPr>
            <w:r>
              <w:rPr>
                <w:b/>
              </w:rPr>
              <w:t>角色</w:t>
            </w:r>
          </w:p>
        </w:tc>
        <w:tc>
          <w:tcPr>
            <w:tcW w:w="1900" w:type="dxa"/>
            <w:shd w:fill="F2F4F7"/>
            <w:vAlign w:val="center"/>
          </w:tcPr>
          <w:p>
            <w:pPr>
              <w:pStyle w:val="TableText"/>
              <w:spacing w:after="0"/>
            </w:pPr>
            <w:r>
              <w:rPr>
                <w:b/>
              </w:rPr>
              <w:t>估算工时</w:t>
            </w:r>
          </w:p>
        </w:tc>
        <w:tc>
          <w:tcPr>
            <w:tcW w:w="1900" w:type="dxa"/>
            <w:shd w:fill="F2F4F7"/>
            <w:vAlign w:val="center"/>
          </w:tcPr>
          <w:p>
            <w:pPr>
              <w:pStyle w:val="TableText"/>
              <w:spacing w:after="0"/>
            </w:pPr>
            <w:r>
              <w:rPr>
                <w:b/>
              </w:rPr>
              <w:t>单价（元/小时）</w:t>
            </w:r>
          </w:p>
        </w:tc>
        <w:tc>
          <w:tcPr>
            <w:tcW w:w="3660" w:type="dxa"/>
            <w:shd w:fill="F2F4F7"/>
            <w:vAlign w:val="center"/>
          </w:tcPr>
          <w:p>
            <w:pPr>
              <w:pStyle w:val="TableText"/>
              <w:spacing w:after="0"/>
            </w:pPr>
            <w:r>
              <w:rPr>
                <w:b/>
              </w:rPr>
              <w:t>小计（元）</w:t>
            </w:r>
          </w:p>
        </w:tc>
      </w:tr>
      <w:tr>
        <w:tc>
          <w:tcPr>
            <w:tcW w:w="1900" w:type="dxa"/>
            <w:vAlign w:val="center"/>
          </w:tcPr>
          <w:p>
            <w:pPr>
              <w:pStyle w:val="TableText"/>
              <w:spacing w:after="0"/>
            </w:pPr>
            <w:r>
              <w:t>全栈开发</w:t>
            </w:r>
          </w:p>
        </w:tc>
        <w:tc>
          <w:tcPr>
            <w:tcW w:w="1900" w:type="dxa"/>
            <w:vAlign w:val="center"/>
          </w:tcPr>
          <w:p>
            <w:pPr>
              <w:pStyle w:val="TableText"/>
              <w:spacing w:after="0"/>
            </w:pPr>
            <w:r>
              <w:t>280</w:t>
            </w:r>
          </w:p>
        </w:tc>
        <w:tc>
          <w:tcPr>
            <w:tcW w:w="1900" w:type="dxa"/>
            <w:vAlign w:val="center"/>
          </w:tcPr>
          <w:p>
            <w:pPr>
              <w:pStyle w:val="TableText"/>
              <w:spacing w:after="0"/>
            </w:pPr>
            <w:r>
              <w:t>60</w:t>
            </w:r>
          </w:p>
        </w:tc>
        <w:tc>
          <w:tcPr>
            <w:tcW w:w="3660" w:type="dxa"/>
            <w:vAlign w:val="center"/>
          </w:tcPr>
          <w:p>
            <w:pPr>
              <w:pStyle w:val="TableText"/>
              <w:spacing w:after="0"/>
            </w:pPr>
            <w:r>
              <w:t>16,800</w:t>
            </w:r>
          </w:p>
        </w:tc>
      </w:tr>
      <w:tr>
        <w:tc>
          <w:tcPr>
            <w:tcW w:w="1900" w:type="dxa"/>
            <w:vAlign w:val="center"/>
          </w:tcPr>
          <w:p>
            <w:pPr>
              <w:pStyle w:val="TableText"/>
              <w:spacing w:after="0"/>
            </w:pPr>
            <w:r>
              <w:t>运维测试与演示</w:t>
            </w:r>
          </w:p>
        </w:tc>
        <w:tc>
          <w:tcPr>
            <w:tcW w:w="1900" w:type="dxa"/>
            <w:vAlign w:val="center"/>
          </w:tcPr>
          <w:p>
            <w:pPr>
              <w:pStyle w:val="TableText"/>
              <w:spacing w:after="0"/>
            </w:pPr>
            <w:r>
              <w:t>110</w:t>
            </w:r>
          </w:p>
        </w:tc>
        <w:tc>
          <w:tcPr>
            <w:tcW w:w="1900" w:type="dxa"/>
            <w:vAlign w:val="center"/>
          </w:tcPr>
          <w:p>
            <w:pPr>
              <w:pStyle w:val="TableText"/>
              <w:spacing w:after="0"/>
            </w:pPr>
            <w:r>
              <w:t>45</w:t>
            </w:r>
          </w:p>
        </w:tc>
        <w:tc>
          <w:tcPr>
            <w:tcW w:w="3660" w:type="dxa"/>
            <w:vAlign w:val="center"/>
          </w:tcPr>
          <w:p>
            <w:pPr>
              <w:pStyle w:val="TableText"/>
              <w:spacing w:after="0"/>
            </w:pPr>
            <w:r>
              <w:t>4,950</w:t>
            </w:r>
          </w:p>
        </w:tc>
      </w:tr>
      <w:tr>
        <w:tc>
          <w:tcPr>
            <w:tcW w:w="1900" w:type="dxa"/>
            <w:vAlign w:val="center"/>
          </w:tcPr>
          <w:p>
            <w:pPr>
              <w:pStyle w:val="TableText"/>
              <w:spacing w:after="0"/>
            </w:pPr>
            <w:r>
              <w:t>需求分析与研究指导</w:t>
            </w:r>
          </w:p>
        </w:tc>
        <w:tc>
          <w:tcPr>
            <w:tcW w:w="1900" w:type="dxa"/>
            <w:vAlign w:val="center"/>
          </w:tcPr>
          <w:p>
            <w:pPr>
              <w:pStyle w:val="TableText"/>
              <w:spacing w:after="0"/>
            </w:pPr>
            <w:r>
              <w:t>100</w:t>
            </w:r>
          </w:p>
        </w:tc>
        <w:tc>
          <w:tcPr>
            <w:tcW w:w="1900" w:type="dxa"/>
            <w:vAlign w:val="center"/>
          </w:tcPr>
          <w:p>
            <w:pPr>
              <w:pStyle w:val="TableText"/>
              <w:spacing w:after="0"/>
            </w:pPr>
            <w:r>
              <w:t>55</w:t>
            </w:r>
          </w:p>
        </w:tc>
        <w:tc>
          <w:tcPr>
            <w:tcW w:w="3660" w:type="dxa"/>
            <w:vAlign w:val="center"/>
          </w:tcPr>
          <w:p>
            <w:pPr>
              <w:pStyle w:val="TableText"/>
              <w:spacing w:after="0"/>
            </w:pPr>
            <w:r>
              <w:t>5,500</w:t>
            </w:r>
          </w:p>
        </w:tc>
      </w:tr>
      <w:tr>
        <w:tc>
          <w:tcPr>
            <w:tcW w:w="1900" w:type="dxa"/>
            <w:vAlign w:val="center"/>
          </w:tcPr>
          <w:p>
            <w:pPr>
              <w:pStyle w:val="TableText"/>
              <w:spacing w:after="0"/>
            </w:pPr>
            <w:r>
              <w:t>文档统筹与课程报告整理</w:t>
            </w:r>
          </w:p>
        </w:tc>
        <w:tc>
          <w:tcPr>
            <w:tcW w:w="1900" w:type="dxa"/>
            <w:vAlign w:val="center"/>
          </w:tcPr>
          <w:p>
            <w:pPr>
              <w:pStyle w:val="TableText"/>
              <w:spacing w:after="0"/>
            </w:pPr>
            <w:r>
              <w:t>70</w:t>
            </w:r>
          </w:p>
        </w:tc>
        <w:tc>
          <w:tcPr>
            <w:tcW w:w="1900" w:type="dxa"/>
            <w:vAlign w:val="center"/>
          </w:tcPr>
          <w:p>
            <w:pPr>
              <w:pStyle w:val="TableText"/>
              <w:spacing w:after="0"/>
            </w:pPr>
            <w:r>
              <w:t>50</w:t>
            </w:r>
          </w:p>
        </w:tc>
        <w:tc>
          <w:tcPr>
            <w:tcW w:w="3660" w:type="dxa"/>
            <w:vAlign w:val="center"/>
          </w:tcPr>
          <w:p>
            <w:pPr>
              <w:pStyle w:val="TableText"/>
              <w:spacing w:after="0"/>
            </w:pPr>
            <w:r>
              <w:t>3,500</w:t>
            </w:r>
          </w:p>
        </w:tc>
      </w:tr>
      <w:tr>
        <w:tc>
          <w:tcPr>
            <w:tcW w:w="1900" w:type="dxa"/>
            <w:vAlign w:val="center"/>
          </w:tcPr>
          <w:p>
            <w:pPr>
              <w:pStyle w:val="TableText"/>
              <w:spacing w:after="0"/>
            </w:pPr>
            <w:r>
              <w:rPr>
                <w:b/>
              </w:rPr>
              <w:t>合计</w:t>
            </w:r>
          </w:p>
        </w:tc>
        <w:tc>
          <w:tcPr>
            <w:tcW w:w="1900" w:type="dxa"/>
            <w:vAlign w:val="center"/>
          </w:tcPr>
          <w:p>
            <w:pPr>
              <w:pStyle w:val="TableText"/>
              <w:spacing w:after="0"/>
            </w:pPr>
            <w:r>
              <w:t>560</w:t>
            </w:r>
          </w:p>
        </w:tc>
        <w:tc>
          <w:tcPr>
            <w:tcW w:w="1900" w:type="dxa"/>
            <w:vAlign w:val="center"/>
          </w:tcPr>
          <w:p>
            <w:pPr>
              <w:pStyle w:val="TableText"/>
              <w:spacing w:after="0"/>
            </w:pPr>
          </w:p>
        </w:tc>
        <w:tc>
          <w:tcPr>
            <w:tcW w:w="3660" w:type="dxa"/>
            <w:vAlign w:val="center"/>
          </w:tcPr>
          <w:p>
            <w:pPr>
              <w:pStyle w:val="TableText"/>
              <w:spacing w:after="0"/>
            </w:pPr>
            <w:r>
              <w:rPr>
                <w:b/>
              </w:rPr>
              <w:t>32,800</w:t>
            </w:r>
          </w:p>
        </w:tc>
      </w:tr>
    </w:tbl>
    <w:p>
      <w:pPr>
        <w:pStyle w:val="BodyText"/>
        <w:spacing w:after="80"/>
      </w:pPr>
    </w:p>
    <w:p>
      <w:pPr>
        <w:pStyle w:val="BodyText"/>
      </w:pPr>
      <w:r>
        <w:t>人力成本的估算依据是项目工作分解结构和实际 3 人分工。全栈开发承担前端、后端、数据库和主要智能能力接入工作，投入占比最高；运维测试与演示负责环境、部署、回归检查和演示材料，主要集中在中后期；需求分析与研究指导负责需求拆解、开源项目调研和论文资料支持；文档统筹工作贯穿全程，尤其在提交前集中投入。</w:t>
      </w:r>
    </w:p>
    <w:p>
      <w:pPr>
        <w:pStyle w:val="BodyText"/>
      </w:pPr>
      <w:r>
        <w:t>该估算采用课程管理中的机会成本口径，即把成员投入时间折算成项目成本，用于衡量项目规模和资源占用。实际团队内部不发生等额工资支付，因此该部分不计入现金支出。</w:t>
      </w:r>
    </w:p>
    <w:p>
      <w:pPr>
        <w:pStyle w:val="Heading3"/>
        <w:keepNext/>
      </w:pPr>
      <w:r>
        <w:t>2. 资产类与服务成本</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项目</w:t>
            </w:r>
          </w:p>
        </w:tc>
        <w:tc>
          <w:tcPr>
            <w:tcW w:w="2300" w:type="dxa"/>
            <w:shd w:fill="F2F4F7"/>
            <w:vAlign w:val="center"/>
          </w:tcPr>
          <w:p>
            <w:pPr>
              <w:pStyle w:val="TableText"/>
              <w:spacing w:after="0"/>
            </w:pPr>
            <w:r>
              <w:rPr>
                <w:b/>
              </w:rPr>
              <w:t>金额（元）</w:t>
            </w:r>
          </w:p>
        </w:tc>
        <w:tc>
          <w:tcPr>
            <w:tcW w:w="4860" w:type="dxa"/>
            <w:shd w:fill="F2F4F7"/>
            <w:vAlign w:val="center"/>
          </w:tcPr>
          <w:p>
            <w:pPr>
              <w:pStyle w:val="TableText"/>
              <w:spacing w:after="0"/>
            </w:pPr>
            <w:r>
              <w:rPr>
                <w:b/>
              </w:rPr>
              <w:t>说明</w:t>
            </w:r>
          </w:p>
        </w:tc>
      </w:tr>
      <w:tr>
        <w:tc>
          <w:tcPr>
            <w:tcW w:w="2200" w:type="dxa"/>
            <w:vAlign w:val="center"/>
          </w:tcPr>
          <w:p>
            <w:pPr>
              <w:pStyle w:val="TableText"/>
              <w:spacing w:after="0"/>
            </w:pPr>
            <w:r>
              <w:t>开发设备折算</w:t>
            </w:r>
          </w:p>
        </w:tc>
        <w:tc>
          <w:tcPr>
            <w:tcW w:w="2300" w:type="dxa"/>
            <w:vAlign w:val="center"/>
          </w:tcPr>
          <w:p>
            <w:pPr>
              <w:pStyle w:val="TableText"/>
              <w:spacing w:after="0"/>
            </w:pPr>
            <w:r>
              <w:t>3,000</w:t>
            </w:r>
          </w:p>
        </w:tc>
        <w:tc>
          <w:tcPr>
            <w:tcW w:w="4860" w:type="dxa"/>
            <w:vAlign w:val="center"/>
          </w:tcPr>
          <w:p>
            <w:pPr>
              <w:pStyle w:val="TableText"/>
              <w:spacing w:after="0"/>
            </w:pPr>
            <w:r>
              <w:t>个人设备折旧或共享成本，课程估算口径</w:t>
            </w:r>
          </w:p>
        </w:tc>
      </w:tr>
      <w:tr>
        <w:tc>
          <w:tcPr>
            <w:tcW w:w="2200" w:type="dxa"/>
            <w:vAlign w:val="center"/>
          </w:tcPr>
          <w:p>
            <w:pPr>
              <w:pStyle w:val="TableText"/>
              <w:spacing w:after="0"/>
            </w:pPr>
            <w:r>
              <w:t>数据库/工具/环境</w:t>
            </w:r>
          </w:p>
        </w:tc>
        <w:tc>
          <w:tcPr>
            <w:tcW w:w="2300" w:type="dxa"/>
            <w:vAlign w:val="center"/>
          </w:tcPr>
          <w:p>
            <w:pPr>
              <w:pStyle w:val="TableText"/>
              <w:spacing w:after="0"/>
            </w:pPr>
            <w:r>
              <w:t>1,200</w:t>
            </w:r>
          </w:p>
        </w:tc>
        <w:tc>
          <w:tcPr>
            <w:tcW w:w="4860" w:type="dxa"/>
            <w:vAlign w:val="center"/>
          </w:tcPr>
          <w:p>
            <w:pPr>
              <w:pStyle w:val="TableText"/>
              <w:spacing w:after="0"/>
            </w:pPr>
            <w:r>
              <w:t>本地开发、阿里云数据库和调试环境</w:t>
            </w:r>
          </w:p>
        </w:tc>
      </w:tr>
      <w:tr>
        <w:tc>
          <w:tcPr>
            <w:tcW w:w="2200" w:type="dxa"/>
            <w:vAlign w:val="center"/>
          </w:tcPr>
          <w:p>
            <w:pPr>
              <w:pStyle w:val="TableText"/>
              <w:spacing w:after="0"/>
            </w:pPr>
            <w:r>
              <w:t>Codex 类 AI 辅助开发工具</w:t>
            </w:r>
          </w:p>
        </w:tc>
        <w:tc>
          <w:tcPr>
            <w:tcW w:w="2300" w:type="dxa"/>
            <w:vAlign w:val="center"/>
          </w:tcPr>
          <w:p>
            <w:pPr>
              <w:pStyle w:val="TableText"/>
              <w:spacing w:after="0"/>
            </w:pPr>
            <w:r>
              <w:t>1,000</w:t>
            </w:r>
          </w:p>
        </w:tc>
        <w:tc>
          <w:tcPr>
            <w:tcW w:w="4860" w:type="dxa"/>
            <w:vAlign w:val="center"/>
          </w:tcPr>
          <w:p>
            <w:pPr>
              <w:pStyle w:val="TableText"/>
              <w:spacing w:after="0"/>
            </w:pPr>
            <w:r>
              <w:t>大模型驱动的开发辅助产品或额度</w:t>
            </w:r>
          </w:p>
        </w:tc>
      </w:tr>
      <w:tr>
        <w:tc>
          <w:tcPr>
            <w:tcW w:w="2200" w:type="dxa"/>
            <w:vAlign w:val="center"/>
          </w:tcPr>
          <w:p>
            <w:pPr>
              <w:pStyle w:val="TableText"/>
              <w:spacing w:after="0"/>
            </w:pPr>
            <w:r>
              <w:t>外部服务与模型调用</w:t>
            </w:r>
          </w:p>
        </w:tc>
        <w:tc>
          <w:tcPr>
            <w:tcW w:w="2300" w:type="dxa"/>
            <w:vAlign w:val="center"/>
          </w:tcPr>
          <w:p>
            <w:pPr>
              <w:pStyle w:val="TableText"/>
              <w:spacing w:after="0"/>
            </w:pPr>
            <w:r>
              <w:t>1,000</w:t>
            </w:r>
          </w:p>
        </w:tc>
        <w:tc>
          <w:tcPr>
            <w:tcW w:w="4860" w:type="dxa"/>
            <w:vAlign w:val="center"/>
          </w:tcPr>
          <w:p>
            <w:pPr>
              <w:pStyle w:val="TableText"/>
              <w:spacing w:after="0"/>
            </w:pPr>
            <w:r>
              <w:t>视实际调用频率调整</w:t>
            </w:r>
          </w:p>
        </w:tc>
      </w:tr>
      <w:tr>
        <w:tc>
          <w:tcPr>
            <w:tcW w:w="2200" w:type="dxa"/>
            <w:vAlign w:val="center"/>
          </w:tcPr>
          <w:p>
            <w:pPr>
              <w:pStyle w:val="TableText"/>
              <w:spacing w:after="0"/>
            </w:pPr>
            <w:r>
              <w:t>测试与演示材料</w:t>
            </w:r>
          </w:p>
        </w:tc>
        <w:tc>
          <w:tcPr>
            <w:tcW w:w="2300" w:type="dxa"/>
            <w:vAlign w:val="center"/>
          </w:tcPr>
          <w:p>
            <w:pPr>
              <w:pStyle w:val="TableText"/>
              <w:spacing w:after="0"/>
            </w:pPr>
            <w:r>
              <w:t>800</w:t>
            </w:r>
          </w:p>
        </w:tc>
        <w:tc>
          <w:tcPr>
            <w:tcW w:w="4860" w:type="dxa"/>
            <w:vAlign w:val="center"/>
          </w:tcPr>
          <w:p>
            <w:pPr>
              <w:pStyle w:val="TableText"/>
              <w:spacing w:after="0"/>
            </w:pPr>
            <w:r>
              <w:t>截图、PPT、打印等</w:t>
            </w:r>
          </w:p>
        </w:tc>
      </w:tr>
      <w:tr>
        <w:tc>
          <w:tcPr>
            <w:tcW w:w="2200" w:type="dxa"/>
            <w:vAlign w:val="center"/>
          </w:tcPr>
          <w:p>
            <w:pPr>
              <w:pStyle w:val="TableText"/>
              <w:spacing w:after="0"/>
            </w:pPr>
            <w:r>
              <w:rPr>
                <w:b/>
              </w:rPr>
              <w:t>合计</w:t>
            </w:r>
          </w:p>
        </w:tc>
        <w:tc>
          <w:tcPr>
            <w:tcW w:w="2300" w:type="dxa"/>
            <w:vAlign w:val="center"/>
          </w:tcPr>
          <w:p>
            <w:pPr>
              <w:pStyle w:val="TableText"/>
              <w:spacing w:after="0"/>
            </w:pPr>
            <w:r>
              <w:rPr>
                <w:b/>
              </w:rPr>
              <w:t>7,000</w:t>
            </w:r>
          </w:p>
        </w:tc>
        <w:tc>
          <w:tcPr>
            <w:tcW w:w="4860" w:type="dxa"/>
            <w:vAlign w:val="center"/>
          </w:tcPr>
          <w:p>
            <w:pPr>
              <w:pStyle w:val="TableText"/>
              <w:spacing w:after="0"/>
            </w:pPr>
          </w:p>
        </w:tc>
      </w:tr>
    </w:tbl>
    <w:p>
      <w:pPr>
        <w:pStyle w:val="BodyText"/>
        <w:spacing w:after="80"/>
      </w:pPr>
    </w:p>
    <w:p>
      <w:pPr>
        <w:pStyle w:val="BodyText"/>
      </w:pPr>
      <w:r>
        <w:t>资产类与服务成本中，开发设备折算属于管理估算，并非新增采购。数据库和工具环境主要用于支撑本地开发、云端部署和阿里云数据库连接。Codex 类 AI 辅助开发工具是本项目的重要投入项，它提高了代码生成、问题定位、文档扩写和方案整理效率，但也需要通过人工审核、测试和版本控制来降低生成错误风险。</w:t>
      </w:r>
    </w:p>
    <w:p>
      <w:pPr>
        <w:pStyle w:val="BodyText"/>
      </w:pPr>
      <w:r>
        <w:t>若只统计真实现金支出，则设备折算可以剔除，测试材料也可以大幅压缩。实际现金成本主要由 Codex 类产品、模型调用额度、云服务器或服务机部署费用、阿里云数据库费用构成，预计总额不超过 1500 元。</w:t>
      </w:r>
    </w:p>
    <w:p>
      <w:pPr>
        <w:pStyle w:val="BodyText"/>
      </w:pPr>
      <w:r>
        <w:t>成本与业务功能的关系主要体现在三类消耗上。第一，AI Terminal、AI Studio、知识图谱解释、学习规划和多模态分析会消耗模型调用额度；第二，资料上传、文件预览、知识切块、embedding 和向量检索会消耗计算与存储资源；第三，阿里云数据库和服务机部署用于保障 Workspace、Workbench、对话历史、学习事件、闪卡和生成物等数据在演示中的稳定访问。因此成本控制不能只按技术类别看，还要按业务链路判断投入是否值得。</w:t>
      </w:r>
    </w:p>
    <w:p>
      <w:pPr>
        <w:pStyle w:val="Heading3"/>
        <w:keepNext/>
      </w:pPr>
      <w:r>
        <w:t>3. 不可预见成本</w:t>
      </w:r>
    </w:p>
    <w:p>
      <w:pPr>
        <w:pStyle w:val="BodyText"/>
      </w:pPr>
      <w:r>
        <w:t>按总成本的 10% 预留不可预见费用，用于需求变更、重做和临时服务开销。</w:t>
      </w:r>
    </w:p>
    <w:p>
      <w:pPr>
        <w:pStyle w:val="BodyText"/>
      </w:pPr>
      <w:r>
        <w:t>不可预见费用主要用于三类情况：第一，智能能力接入过程中模型额度消耗超过预期；第二，云端部署或数据库配置需要临时调整规格；第三，临近提交时发现文档、截图、演示材料需要返工。由于本项目规模仍属于课程原型，预留比例不宜过高，10% 能够覆盖常见波动。</w:t>
      </w:r>
    </w:p>
    <w:p>
      <w:pPr>
        <w:pStyle w:val="Heading2"/>
        <w:keepNext/>
      </w:pPr>
      <w:r>
        <w:t>三、费用预算</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成本类别</w:t>
            </w:r>
          </w:p>
        </w:tc>
        <w:tc>
          <w:tcPr>
            <w:tcW w:w="6760" w:type="dxa"/>
            <w:shd w:fill="F2F4F7"/>
            <w:vAlign w:val="center"/>
          </w:tcPr>
          <w:p>
            <w:pPr>
              <w:pStyle w:val="TableText"/>
              <w:spacing w:after="0"/>
            </w:pPr>
            <w:r>
              <w:rPr>
                <w:b/>
              </w:rPr>
              <w:t>金额（元）</w:t>
            </w:r>
          </w:p>
        </w:tc>
      </w:tr>
      <w:tr>
        <w:tc>
          <w:tcPr>
            <w:tcW w:w="2600" w:type="dxa"/>
            <w:vAlign w:val="center"/>
          </w:tcPr>
          <w:p>
            <w:pPr>
              <w:pStyle w:val="TableText"/>
              <w:spacing w:after="0"/>
            </w:pPr>
            <w:r>
              <w:t>人力成本</w:t>
            </w:r>
          </w:p>
        </w:tc>
        <w:tc>
          <w:tcPr>
            <w:tcW w:w="6760" w:type="dxa"/>
            <w:vAlign w:val="center"/>
          </w:tcPr>
          <w:p>
            <w:pPr>
              <w:pStyle w:val="TableText"/>
              <w:spacing w:after="0"/>
            </w:pPr>
            <w:r>
              <w:t>32,800</w:t>
            </w:r>
          </w:p>
        </w:tc>
      </w:tr>
      <w:tr>
        <w:tc>
          <w:tcPr>
            <w:tcW w:w="2600" w:type="dxa"/>
            <w:vAlign w:val="center"/>
          </w:tcPr>
          <w:p>
            <w:pPr>
              <w:pStyle w:val="TableText"/>
              <w:spacing w:after="0"/>
            </w:pPr>
            <w:r>
              <w:t>其他直接成本</w:t>
            </w:r>
          </w:p>
        </w:tc>
        <w:tc>
          <w:tcPr>
            <w:tcW w:w="6760" w:type="dxa"/>
            <w:vAlign w:val="center"/>
          </w:tcPr>
          <w:p>
            <w:pPr>
              <w:pStyle w:val="TableText"/>
              <w:spacing w:after="0"/>
            </w:pPr>
            <w:r>
              <w:t>7,000</w:t>
            </w:r>
          </w:p>
        </w:tc>
      </w:tr>
      <w:tr>
        <w:tc>
          <w:tcPr>
            <w:tcW w:w="2600" w:type="dxa"/>
            <w:vAlign w:val="center"/>
          </w:tcPr>
          <w:p>
            <w:pPr>
              <w:pStyle w:val="TableText"/>
              <w:spacing w:after="0"/>
            </w:pPr>
            <w:r>
              <w:t>小计</w:t>
            </w:r>
          </w:p>
        </w:tc>
        <w:tc>
          <w:tcPr>
            <w:tcW w:w="6760" w:type="dxa"/>
            <w:vAlign w:val="center"/>
          </w:tcPr>
          <w:p>
            <w:pPr>
              <w:pStyle w:val="TableText"/>
              <w:spacing w:after="0"/>
            </w:pPr>
            <w:r>
              <w:t>39,800</w:t>
            </w:r>
          </w:p>
        </w:tc>
      </w:tr>
      <w:tr>
        <w:tc>
          <w:tcPr>
            <w:tcW w:w="2600" w:type="dxa"/>
            <w:vAlign w:val="center"/>
          </w:tcPr>
          <w:p>
            <w:pPr>
              <w:pStyle w:val="TableText"/>
              <w:spacing w:after="0"/>
            </w:pPr>
            <w:r>
              <w:t>不可预见费（10%）</w:t>
            </w:r>
          </w:p>
        </w:tc>
        <w:tc>
          <w:tcPr>
            <w:tcW w:w="6760" w:type="dxa"/>
            <w:vAlign w:val="center"/>
          </w:tcPr>
          <w:p>
            <w:pPr>
              <w:pStyle w:val="TableText"/>
              <w:spacing w:after="0"/>
            </w:pPr>
            <w:r>
              <w:t>3,980</w:t>
            </w:r>
          </w:p>
        </w:tc>
      </w:tr>
      <w:tr>
        <w:tc>
          <w:tcPr>
            <w:tcW w:w="2600" w:type="dxa"/>
            <w:vAlign w:val="center"/>
          </w:tcPr>
          <w:p>
            <w:pPr>
              <w:pStyle w:val="TableText"/>
              <w:spacing w:after="0"/>
            </w:pPr>
            <w:r>
              <w:rPr>
                <w:b/>
              </w:rPr>
              <w:t>总预算</w:t>
            </w:r>
          </w:p>
        </w:tc>
        <w:tc>
          <w:tcPr>
            <w:tcW w:w="6760" w:type="dxa"/>
            <w:vAlign w:val="center"/>
          </w:tcPr>
          <w:p>
            <w:pPr>
              <w:pStyle w:val="TableText"/>
              <w:spacing w:after="0"/>
            </w:pPr>
            <w:r>
              <w:rPr>
                <w:b/>
              </w:rPr>
              <w:t>43,780</w:t>
            </w:r>
          </w:p>
        </w:tc>
      </w:tr>
    </w:tbl>
    <w:p>
      <w:pPr>
        <w:pStyle w:val="BodyText"/>
        <w:spacing w:after="80"/>
      </w:pPr>
    </w:p>
    <w:p>
      <w:pPr>
        <w:pStyle w:val="BodyText"/>
      </w:pPr>
      <w:r>
        <w:t>上表为课程估算预算，主要用于表达项目管理中的资源投入规模。若按实际现金支出统计，预算可单独列为：</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现金支出项目</w:t>
            </w:r>
          </w:p>
        </w:tc>
        <w:tc>
          <w:tcPr>
            <w:tcW w:w="2300" w:type="dxa"/>
            <w:shd w:fill="F2F4F7"/>
            <w:vAlign w:val="center"/>
          </w:tcPr>
          <w:p>
            <w:pPr>
              <w:pStyle w:val="TableText"/>
              <w:spacing w:after="0"/>
            </w:pPr>
            <w:r>
              <w:rPr>
                <w:b/>
              </w:rPr>
              <w:t>估算金额（元）</w:t>
            </w:r>
          </w:p>
        </w:tc>
        <w:tc>
          <w:tcPr>
            <w:tcW w:w="4860" w:type="dxa"/>
            <w:shd w:fill="F2F4F7"/>
            <w:vAlign w:val="center"/>
          </w:tcPr>
          <w:p>
            <w:pPr>
              <w:pStyle w:val="TableText"/>
              <w:spacing w:after="0"/>
            </w:pPr>
            <w:r>
              <w:rPr>
                <w:b/>
              </w:rPr>
              <w:t>控制方式</w:t>
            </w:r>
          </w:p>
        </w:tc>
      </w:tr>
      <w:tr>
        <w:tc>
          <w:tcPr>
            <w:tcW w:w="2200" w:type="dxa"/>
            <w:vAlign w:val="center"/>
          </w:tcPr>
          <w:p>
            <w:pPr>
              <w:pStyle w:val="TableText"/>
              <w:spacing w:after="0"/>
            </w:pPr>
            <w:r>
              <w:t>Codex 类开发辅助产品</w:t>
            </w:r>
          </w:p>
        </w:tc>
        <w:tc>
          <w:tcPr>
            <w:tcW w:w="2300" w:type="dxa"/>
            <w:vAlign w:val="center"/>
          </w:tcPr>
          <w:p>
            <w:pPr>
              <w:pStyle w:val="TableText"/>
              <w:spacing w:after="0"/>
            </w:pPr>
            <w:r>
              <w:t>600</w:t>
            </w:r>
          </w:p>
        </w:tc>
        <w:tc>
          <w:tcPr>
            <w:tcW w:w="4860" w:type="dxa"/>
            <w:vAlign w:val="center"/>
          </w:tcPr>
          <w:p>
            <w:pPr>
              <w:pStyle w:val="TableText"/>
              <w:spacing w:after="0"/>
            </w:pPr>
            <w:r>
              <w:t>控制订阅周期和使用额度</w:t>
            </w:r>
          </w:p>
        </w:tc>
      </w:tr>
      <w:tr>
        <w:tc>
          <w:tcPr>
            <w:tcW w:w="2200" w:type="dxa"/>
            <w:vAlign w:val="center"/>
          </w:tcPr>
          <w:p>
            <w:pPr>
              <w:pStyle w:val="TableText"/>
              <w:spacing w:after="0"/>
            </w:pPr>
            <w:r>
              <w:t>模型调用与智能服务</w:t>
            </w:r>
          </w:p>
        </w:tc>
        <w:tc>
          <w:tcPr>
            <w:tcW w:w="2300" w:type="dxa"/>
            <w:vAlign w:val="center"/>
          </w:tcPr>
          <w:p>
            <w:pPr>
              <w:pStyle w:val="TableText"/>
              <w:spacing w:after="0"/>
            </w:pPr>
            <w:r>
              <w:t>300</w:t>
            </w:r>
          </w:p>
        </w:tc>
        <w:tc>
          <w:tcPr>
            <w:tcW w:w="4860" w:type="dxa"/>
            <w:vAlign w:val="center"/>
          </w:tcPr>
          <w:p>
            <w:pPr>
              <w:pStyle w:val="TableText"/>
              <w:spacing w:after="0"/>
            </w:pPr>
            <w:r>
              <w:t>只在关键功能和演示数据中调用</w:t>
            </w:r>
          </w:p>
        </w:tc>
      </w:tr>
      <w:tr>
        <w:tc>
          <w:tcPr>
            <w:tcW w:w="2200" w:type="dxa"/>
            <w:vAlign w:val="center"/>
          </w:tcPr>
          <w:p>
            <w:pPr>
              <w:pStyle w:val="TableText"/>
              <w:spacing w:after="0"/>
            </w:pPr>
            <w:r>
              <w:t>云服务器/服务机部署</w:t>
            </w:r>
          </w:p>
        </w:tc>
        <w:tc>
          <w:tcPr>
            <w:tcW w:w="2300" w:type="dxa"/>
            <w:vAlign w:val="center"/>
          </w:tcPr>
          <w:p>
            <w:pPr>
              <w:pStyle w:val="TableText"/>
              <w:spacing w:after="0"/>
            </w:pPr>
            <w:r>
              <w:t>300</w:t>
            </w:r>
          </w:p>
        </w:tc>
        <w:tc>
          <w:tcPr>
            <w:tcW w:w="4860" w:type="dxa"/>
            <w:vAlign w:val="center"/>
          </w:tcPr>
          <w:p>
            <w:pPr>
              <w:pStyle w:val="TableText"/>
              <w:spacing w:after="0"/>
            </w:pPr>
            <w:r>
              <w:t>使用轻量配置，按需开启</w:t>
            </w:r>
          </w:p>
        </w:tc>
      </w:tr>
      <w:tr>
        <w:tc>
          <w:tcPr>
            <w:tcW w:w="2200" w:type="dxa"/>
            <w:vAlign w:val="center"/>
          </w:tcPr>
          <w:p>
            <w:pPr>
              <w:pStyle w:val="TableText"/>
              <w:spacing w:after="0"/>
            </w:pPr>
            <w:r>
              <w:t>阿里云数据库</w:t>
            </w:r>
          </w:p>
        </w:tc>
        <w:tc>
          <w:tcPr>
            <w:tcW w:w="2300" w:type="dxa"/>
            <w:vAlign w:val="center"/>
          </w:tcPr>
          <w:p>
            <w:pPr>
              <w:pStyle w:val="TableText"/>
              <w:spacing w:after="0"/>
            </w:pPr>
            <w:r>
              <w:t>200</w:t>
            </w:r>
          </w:p>
        </w:tc>
        <w:tc>
          <w:tcPr>
            <w:tcW w:w="4860" w:type="dxa"/>
            <w:vAlign w:val="center"/>
          </w:tcPr>
          <w:p>
            <w:pPr>
              <w:pStyle w:val="TableText"/>
              <w:spacing w:after="0"/>
            </w:pPr>
            <w:r>
              <w:t>选择适合课程演示的规格</w:t>
            </w:r>
          </w:p>
        </w:tc>
      </w:tr>
      <w:tr>
        <w:tc>
          <w:tcPr>
            <w:tcW w:w="2200" w:type="dxa"/>
            <w:vAlign w:val="center"/>
          </w:tcPr>
          <w:p>
            <w:pPr>
              <w:pStyle w:val="TableText"/>
              <w:spacing w:after="0"/>
            </w:pPr>
            <w:r>
              <w:t>其他演示材料</w:t>
            </w:r>
          </w:p>
        </w:tc>
        <w:tc>
          <w:tcPr>
            <w:tcW w:w="2300" w:type="dxa"/>
            <w:vAlign w:val="center"/>
          </w:tcPr>
          <w:p>
            <w:pPr>
              <w:pStyle w:val="TableText"/>
              <w:spacing w:after="0"/>
            </w:pPr>
            <w:r>
              <w:t>100</w:t>
            </w:r>
          </w:p>
        </w:tc>
        <w:tc>
          <w:tcPr>
            <w:tcW w:w="4860" w:type="dxa"/>
            <w:vAlign w:val="center"/>
          </w:tcPr>
          <w:p>
            <w:pPr>
              <w:pStyle w:val="TableText"/>
              <w:spacing w:after="0"/>
            </w:pPr>
            <w:r>
              <w:t>尽量使用电子材料</w:t>
            </w:r>
          </w:p>
        </w:tc>
      </w:tr>
      <w:tr>
        <w:tc>
          <w:tcPr>
            <w:tcW w:w="2200" w:type="dxa"/>
            <w:vAlign w:val="center"/>
          </w:tcPr>
          <w:p>
            <w:pPr>
              <w:pStyle w:val="TableText"/>
              <w:spacing w:after="0"/>
            </w:pPr>
            <w:r>
              <w:rPr>
                <w:b/>
              </w:rPr>
              <w:t>合计</w:t>
            </w:r>
          </w:p>
        </w:tc>
        <w:tc>
          <w:tcPr>
            <w:tcW w:w="2300" w:type="dxa"/>
            <w:vAlign w:val="center"/>
          </w:tcPr>
          <w:p>
            <w:pPr>
              <w:pStyle w:val="TableText"/>
              <w:spacing w:after="0"/>
            </w:pPr>
            <w:r>
              <w:rPr>
                <w:b/>
              </w:rPr>
              <w:t>1500</w:t>
            </w:r>
          </w:p>
        </w:tc>
        <w:tc>
          <w:tcPr>
            <w:tcW w:w="4860" w:type="dxa"/>
            <w:vAlign w:val="center"/>
          </w:tcPr>
          <w:p>
            <w:pPr>
              <w:pStyle w:val="TableText"/>
              <w:spacing w:after="0"/>
            </w:pPr>
            <w:r>
              <w:t>作为实际现金支出上限</w:t>
            </w:r>
          </w:p>
        </w:tc>
      </w:tr>
    </w:tbl>
    <w:p>
      <w:pPr>
        <w:pStyle w:val="BodyText"/>
        <w:spacing w:after="80"/>
      </w:pPr>
    </w:p>
    <w:p>
      <w:pPr>
        <w:pStyle w:val="BodyText"/>
      </w:pPr>
      <w:r>
        <w:t>这种双口径预算更符合本项目实际：课程报告需要展示完整成本计划，而团队执行需要关注真实可支付金额。后续总结报告和可行性分析报告应引用同一口径，避免成本数据前后矛盾。</w:t>
      </w:r>
    </w:p>
    <w:p>
      <w:pPr>
        <w:pStyle w:val="Heading2"/>
        <w:keepNext/>
      </w:pPr>
      <w:r>
        <w:t>四、直接成本与间接成本</w:t>
      </w:r>
    </w:p>
    <w:p>
      <w:pPr>
        <w:pStyle w:val="BodyText"/>
        <w:numPr>
          <w:ilvl w:val="0"/>
          <w:numId w:val="1"/>
        </w:numPr>
      </w:pPr>
      <w:r>
        <w:t>直接成本：开发人力、外部服务、测试演示材料。</w:t>
      </w:r>
    </w:p>
    <w:p>
      <w:pPr>
        <w:pStyle w:val="BodyText"/>
        <w:numPr>
          <w:ilvl w:val="0"/>
          <w:numId w:val="1"/>
        </w:numPr>
      </w:pPr>
      <w:r>
        <w:t>间接成本：设备折算、沟通协调、文档整理、会议时间。</w:t>
      </w:r>
    </w:p>
    <w:p>
      <w:pPr>
        <w:pStyle w:val="BodyText"/>
      </w:pPr>
      <w:r>
        <w:t>直接成本中，开发人力和 Codex 类工具对项目产出影响最大，决定了功能完成速度和文档整理效率。外部服务与模型调用虽然金额不高，但对 AI Terminal、知识图谱生成、多模态分析等功能有直接影响，需要在演示前确认可用性。间接成本主要体现在沟通、返工和材料整理上，若需求频繁变化或文档口径不统一，间接成本会快速上升。</w:t>
      </w:r>
    </w:p>
    <w:p>
      <w:pPr>
        <w:pStyle w:val="BodyText"/>
      </w:pPr>
      <w:r>
        <w:t>因此，成本控制不能只看账面金额，还要关注返工次数、等待时间和问题定位时间。对于 3 人团队来说，减少沟通误差和保持任务边界清晰，本身就是最重要的成本节约措施。</w:t>
      </w:r>
    </w:p>
    <w:p>
      <w:pPr>
        <w:pStyle w:val="Heading2"/>
        <w:keepNext/>
      </w:pPr>
      <w:r>
        <w:t>五、费用控制</w:t>
      </w:r>
    </w:p>
    <w:p>
      <w:pPr>
        <w:pStyle w:val="Heading3"/>
        <w:keepNext/>
      </w:pPr>
      <w:r>
        <w:t>1. 控制原则</w:t>
      </w:r>
    </w:p>
    <w:p>
      <w:pPr>
        <w:pStyle w:val="BodyText"/>
        <w:numPr>
          <w:ilvl w:val="0"/>
          <w:numId w:val="2"/>
        </w:numPr>
      </w:pPr>
      <w:r>
        <w:t>控制范围，避免功能不断膨胀。</w:t>
      </w:r>
    </w:p>
    <w:p>
      <w:pPr>
        <w:pStyle w:val="BodyText"/>
        <w:numPr>
          <w:ilvl w:val="0"/>
          <w:numId w:val="2"/>
        </w:numPr>
      </w:pPr>
      <w:r>
        <w:t>控制返工，保持接口和文档同步。</w:t>
      </w:r>
    </w:p>
    <w:p>
      <w:pPr>
        <w:pStyle w:val="BodyText"/>
        <w:numPr>
          <w:ilvl w:val="0"/>
          <w:numId w:val="2"/>
        </w:numPr>
      </w:pPr>
      <w:r>
        <w:t>控制服务消耗，能本地完成的尽量本地完成。</w:t>
      </w:r>
    </w:p>
    <w:p>
      <w:pPr>
        <w:pStyle w:val="BodyText"/>
        <w:numPr>
          <w:ilvl w:val="0"/>
          <w:numId w:val="2"/>
        </w:numPr>
      </w:pPr>
      <w:r>
        <w:t>控制演示成本，把预算优先给最能展示成果的模块。</w:t>
      </w:r>
    </w:p>
    <w:p>
      <w:pPr>
        <w:pStyle w:val="BodyText"/>
        <w:numPr>
          <w:ilvl w:val="0"/>
          <w:numId w:val="2"/>
        </w:numPr>
      </w:pPr>
      <w:r>
        <w:t>控制 AI 工具依赖，生成内容必须经过人工复核。</w:t>
      </w:r>
    </w:p>
    <w:p>
      <w:pPr>
        <w:pStyle w:val="BodyText"/>
        <w:numPr>
          <w:ilvl w:val="0"/>
          <w:numId w:val="2"/>
        </w:numPr>
      </w:pPr>
      <w:r>
        <w:t>控制云资源规格，课程演示阶段以稳定可用为主，不追求过度配置。</w:t>
      </w:r>
    </w:p>
    <w:p>
      <w:pPr>
        <w:pStyle w:val="Heading3"/>
        <w:keepNext/>
      </w:pPr>
      <w:r>
        <w:t>2. 控制措施</w:t>
      </w:r>
    </w:p>
    <w:p>
      <w:pPr>
        <w:pStyle w:val="BodyText"/>
        <w:numPr>
          <w:ilvl w:val="0"/>
          <w:numId w:val="1"/>
        </w:numPr>
      </w:pPr>
      <w:r>
        <w:t>每个阶段结束时核对实际投入与预算差异。</w:t>
      </w:r>
    </w:p>
    <w:p>
      <w:pPr>
        <w:pStyle w:val="BodyText"/>
        <w:numPr>
          <w:ilvl w:val="0"/>
          <w:numId w:val="1"/>
        </w:numPr>
      </w:pPr>
      <w:r>
        <w:t>对高成本功能设置审批阈值。</w:t>
      </w:r>
    </w:p>
    <w:p>
      <w:pPr>
        <w:pStyle w:val="BodyText"/>
        <w:numPr>
          <w:ilvl w:val="0"/>
          <w:numId w:val="1"/>
        </w:numPr>
      </w:pPr>
      <w:r>
        <w:t>及时复用已有组件和数据结构。</w:t>
      </w:r>
    </w:p>
    <w:p>
      <w:pPr>
        <w:pStyle w:val="BodyText"/>
        <w:numPr>
          <w:ilvl w:val="0"/>
          <w:numId w:val="1"/>
        </w:numPr>
      </w:pPr>
      <w:r>
        <w:t>对临时新增需求使用不可预见费，不挤占核心预算。</w:t>
      </w:r>
    </w:p>
    <w:p>
      <w:pPr>
        <w:pStyle w:val="BodyText"/>
        <w:numPr>
          <w:ilvl w:val="0"/>
          <w:numId w:val="1"/>
        </w:numPr>
      </w:pPr>
      <w:r>
        <w:t>Codex 类工具主要用于明确任务、生成初稿、辅助重构和文档扩写，关键代码仍要经过运行验证。</w:t>
      </w:r>
    </w:p>
    <w:p>
      <w:pPr>
        <w:pStyle w:val="BodyText"/>
        <w:numPr>
          <w:ilvl w:val="0"/>
          <w:numId w:val="1"/>
        </w:numPr>
      </w:pPr>
      <w:r>
        <w:t>阿里云数据库和部署环境按演示需求配置，提交前进行连接测试和备份检查。</w:t>
      </w:r>
    </w:p>
    <w:p>
      <w:pPr>
        <w:pStyle w:val="BodyText"/>
        <w:numPr>
          <w:ilvl w:val="0"/>
          <w:numId w:val="1"/>
        </w:numPr>
      </w:pPr>
      <w:r>
        <w:t>对多模态分析、复杂 Agent 编排等高成本增强功能设置优先级，必要时采用降级演示。</w:t>
      </w:r>
    </w:p>
    <w:p>
      <w:pPr>
        <w:pStyle w:val="BodyText"/>
      </w:pPr>
      <w:r>
        <w:t>成本控制应与进度控制同步进行。若某项功能同时消耗大量开发时间、模型调用额度和测试资源，但对核心演示帮助有限，应及时降级或延期。相反，若某项投入能显著提升课程展示效果，例如稳定部署环境、统一演示数据、完善关键报告，则应优先保障。</w:t>
      </w:r>
    </w:p>
    <w:p>
      <w:pPr>
        <w:pStyle w:val="BodyText"/>
      </w:pPr>
      <w:r>
        <w:t>例如，AI Studio 的复杂交互式可视化资源生成虽然展示效果强，但若每次生成都需要较多模型调用、渲染调试和人工修复，就不适合作为高频演示路径；相反，基于资料生成测验、闪卡、学习计划和 Markdown 报告更贴近学习业务，也更容易稳定展示。成本计划应鼓励把预算优先投向这些能证明产品价值的功能。</w:t>
      </w:r>
    </w:p>
    <w:p>
      <w:pPr>
        <w:pStyle w:val="Heading2"/>
        <w:keepNext/>
      </w:pPr>
      <w:r>
        <w:t>六、成本计划制订步骤</w:t>
      </w:r>
    </w:p>
    <w:p>
      <w:pPr>
        <w:pStyle w:val="BodyText"/>
        <w:numPr>
          <w:ilvl w:val="0"/>
          <w:numId w:val="2"/>
        </w:numPr>
      </w:pPr>
      <w:r>
        <w:t>依据 WBS 先估算各模块成本，补齐遗漏项。</w:t>
      </w:r>
    </w:p>
    <w:p>
      <w:pPr>
        <w:pStyle w:val="BodyText"/>
        <w:numPr>
          <w:ilvl w:val="0"/>
          <w:numId w:val="2"/>
        </w:numPr>
      </w:pPr>
      <w:r>
        <w:t>根据项目实际环境做综合调整，并预留不可预见费。</w:t>
      </w:r>
    </w:p>
    <w:p>
      <w:pPr>
        <w:pStyle w:val="BodyText"/>
        <w:numPr>
          <w:ilvl w:val="0"/>
          <w:numId w:val="2"/>
        </w:numPr>
      </w:pPr>
      <w:r>
        <w:t>将可执行预算写入计划并作为后续控制基准。</w:t>
      </w:r>
    </w:p>
    <w:p>
      <w:pPr>
        <w:pStyle w:val="BodyText"/>
        <w:numPr>
          <w:ilvl w:val="0"/>
          <w:numId w:val="2"/>
        </w:numPr>
      </w:pPr>
      <w:r>
        <w:t>区分课程估算成本和真实现金支出，分别用于报告分析和实际执行。</w:t>
      </w:r>
    </w:p>
    <w:p>
      <w:pPr>
        <w:pStyle w:val="BodyText"/>
        <w:numPr>
          <w:ilvl w:val="0"/>
          <w:numId w:val="2"/>
        </w:numPr>
      </w:pPr>
      <w:r>
        <w:t>根据风险计划调整预算缓冲，例如为云部署、模型服务和演示材料预留余量。</w:t>
      </w:r>
    </w:p>
    <w:p>
      <w:pPr>
        <w:pStyle w:val="BodyText"/>
        <w:numPr>
          <w:ilvl w:val="0"/>
          <w:numId w:val="2"/>
        </w:numPr>
      </w:pPr>
      <w:r>
        <w:t>在项目总结阶段对预算与实际投入进行对比，分析偏差原因。</w:t>
      </w:r>
    </w:p>
    <w:p>
      <w:pPr>
        <w:pStyle w:val="BodyText"/>
      </w:pPr>
      <w:r>
        <w:t>本项目制订成本计划时，先根据功能模块估算工作量，再结合 3 人团队的实际职责进行角色拆分，最后根据 Codex 类工具、云数据库和部署服务等真实支出补充现金预算。这样既能满足课程报告对成本构成的要求，也能反映项目真实执行特点。</w:t>
      </w:r>
    </w:p>
    <w:p>
      <w:pPr>
        <w:pStyle w:val="Heading2"/>
        <w:keepNext/>
      </w:pPr>
      <w:r>
        <w:t>七、补充说明</w:t>
      </w:r>
    </w:p>
    <w:p>
      <w:pPr>
        <w:pStyle w:val="BodyText"/>
      </w:pPr>
      <w:r>
        <w:t>本项目不是企业级商业系统，因此成本计划的重点不在“精确到分”，而在“有清晰口径、有预算边界、有控制动作”。只要课程作业和软件杯项目口径一致，成本计划就能支撑后续的风险、质量和总结文档。</w:t>
      </w:r>
    </w:p>
    <w:p>
      <w:pPr>
        <w:pStyle w:val="BodyText"/>
      </w:pPr>
      <w:r>
        <w:t>需要特别说明的是，报告中的 43,780 元总预算是把人力时间、设备折算和服务资源全部纳入后的管理估算，用来衡量项目复杂度和资源占用；1500 元以内是团队真实现金支出的控制目标，用来指导实际采购和部署。两个数字服务于不同目的，并不矛盾。</w:t>
      </w:r>
    </w:p>
    <w:p>
      <w:pPr>
        <w:pStyle w:val="BodyText"/>
      </w:pPr>
      <w:r>
        <w:t>后续若项目进入更长期的产品化阶段，成本结构会发生变化，服务器、数据库、模型调用、运维监控和安全合规成本都会提高。当前课程阶段应坚持轻量化原则，把钱花在最能保证交付的地方，即 AI 辅助开发工具、稳定部署环境和必要的模型服务上。</w:t>
      </w:r>
    </w:p>
    <w:p>
      <w:pPr>
        <w:pStyle w:val="Heading1"/>
        <w:pageBreakBefore/>
        <w:keepNext/>
      </w:pPr>
      <w:r>
        <w:t>06 风险计划</w:t>
      </w:r>
    </w:p>
    <w:p>
      <w:pPr>
        <w:pStyle w:val="Heading2"/>
        <w:keepNext/>
      </w:pPr>
      <w:r>
        <w:t>一、风险计划说明</w:t>
      </w:r>
    </w:p>
    <w:p>
      <w:pPr>
        <w:pStyle w:val="BodyText"/>
      </w:pPr>
      <w:r>
        <w:t>本报告中的风险计划按教材要求理解为风险对策计划，重点在于提前识别风险、评估风险、制定应对策略、设置触发标志和明确责任人。</w:t>
      </w:r>
    </w:p>
    <w:p>
      <w:pPr>
        <w:pStyle w:val="BodyText"/>
      </w:pPr>
      <w:r>
        <w:t>本项目的风险具有课程项目和智能系统项目的双重特点。一方面，课程提交时间固定，报告、PPT、截图和演示都必须在规定节点前完成；另一方面，项目包含大模型工具、知识图谱、检索、多模态分析和云数据库等依赖，技术不确定性高于普通管理系统。因此，风险计划需要提前设置降级方案，而不是等问题发生后再临时补救。</w:t>
      </w:r>
    </w:p>
    <w:p>
      <w:pPr>
        <w:pStyle w:val="BodyText"/>
      </w:pPr>
      <w:r>
        <w:t>风险计划的目标不是完全消除风险，而是让团队在风险出现时能够快速判断影响范围，并采取可执行措施。对于 3 人团队来说，风险责任必须明确到角色，避免出现“大家都知道有问题，但没人负责处理”的情况。</w:t>
      </w:r>
    </w:p>
    <w:p>
      <w:pPr>
        <w:pStyle w:val="Heading2"/>
        <w:keepNext/>
      </w:pPr>
      <w:r>
        <w:t>二、风险识别</w:t>
      </w:r>
    </w:p>
    <w:p>
      <w:pPr>
        <w:pStyle w:val="BodyText"/>
      </w:pPr>
      <w:r>
        <w:t>本项目的主要风险来自需求、技术、进度、协作、演示和质量六个方面。</w:t>
      </w:r>
    </w:p>
    <w:p>
      <w:pPr>
        <w:pStyle w:val="BodyText"/>
      </w:pPr>
      <w:r>
        <w:t>需求风险主要表现为智能学习平台功能边界较大，容易把所有想法都加入必做范围；技术风险主要来自外部模型服务、Codex 辅助生成内容、阿里云数据库连接和多模块联调；进度风险主要来自课程提交节点固定、后期文档工作密集；协作风险来自团队人数少、角色兼任较多；演示风险来自环境配置、网络、端口和数据准备；质量风险来自测试覆盖不足、文档与实现不一致和高级功能不稳定。</w:t>
      </w:r>
    </w:p>
    <w:p>
      <w:pPr>
        <w:pStyle w:val="BodyText"/>
      </w:pPr>
      <w:r>
        <w:t>这些风险都可以落到具体业务模块上。Workspace 是数据边界，一旦所有权校验或删除复制逻辑出错，会影响用户资料安全；Workbench 是学习任务现场，一旦状态保存、资源绑定或多面板恢复出错，会影响连续学习体验；资料库和知识索引是 AI 问答、图谱和规划的基础，一旦抽取、切块或检索失败，智能能力就会失去依据；AI Terminal 和 Agentic 模式涉及写入操作，若审批和降级处理不清晰，可能造成误创建文件、误生成计划或演示中断。</w:t>
      </w:r>
    </w:p>
    <w:p>
      <w:pPr>
        <w:pStyle w:val="Heading2"/>
        <w:keepNext/>
      </w:pPr>
      <w:r>
        <w:t>三、风险评估与应对策略</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200"/>
        <w:gridCol w:w="2100"/>
        <w:gridCol w:w="1800"/>
        <w:gridCol w:w="1400"/>
        <w:gridCol w:w="2860"/>
      </w:tblGrid>
      <w:tr>
        <w:tc>
          <w:tcPr>
            <w:tcW w:w="1200" w:type="dxa"/>
            <w:shd w:fill="F2F4F7"/>
            <w:vAlign w:val="center"/>
          </w:tcPr>
          <w:p>
            <w:pPr>
              <w:pStyle w:val="TableText"/>
              <w:spacing w:after="0"/>
            </w:pPr>
            <w:r>
              <w:rPr>
                <w:b/>
              </w:rPr>
              <w:t>风险</w:t>
            </w:r>
          </w:p>
        </w:tc>
        <w:tc>
          <w:tcPr>
            <w:tcW w:w="2100" w:type="dxa"/>
            <w:shd w:fill="F2F4F7"/>
            <w:vAlign w:val="center"/>
          </w:tcPr>
          <w:p>
            <w:pPr>
              <w:pStyle w:val="TableText"/>
              <w:spacing w:after="0"/>
            </w:pPr>
            <w:r>
              <w:rPr>
                <w:b/>
              </w:rPr>
              <w:t>触发标志</w:t>
            </w:r>
          </w:p>
        </w:tc>
        <w:tc>
          <w:tcPr>
            <w:tcW w:w="1800" w:type="dxa"/>
            <w:shd w:fill="F2F4F7"/>
            <w:vAlign w:val="center"/>
          </w:tcPr>
          <w:p>
            <w:pPr>
              <w:pStyle w:val="TableText"/>
              <w:spacing w:after="0"/>
            </w:pPr>
            <w:r>
              <w:rPr>
                <w:b/>
              </w:rPr>
              <w:t>影响</w:t>
            </w:r>
          </w:p>
        </w:tc>
        <w:tc>
          <w:tcPr>
            <w:tcW w:w="1400" w:type="dxa"/>
            <w:shd w:fill="F2F4F7"/>
            <w:vAlign w:val="center"/>
          </w:tcPr>
          <w:p>
            <w:pPr>
              <w:pStyle w:val="TableText"/>
              <w:spacing w:after="0"/>
            </w:pPr>
            <w:r>
              <w:rPr>
                <w:b/>
              </w:rPr>
              <w:t>应对策略</w:t>
            </w:r>
          </w:p>
        </w:tc>
        <w:tc>
          <w:tcPr>
            <w:tcW w:w="2860" w:type="dxa"/>
            <w:shd w:fill="F2F4F7"/>
            <w:vAlign w:val="center"/>
          </w:tcPr>
          <w:p>
            <w:pPr>
              <w:pStyle w:val="TableText"/>
              <w:spacing w:after="0"/>
            </w:pPr>
            <w:r>
              <w:rPr>
                <w:b/>
              </w:rPr>
              <w:t>责任人</w:t>
            </w:r>
          </w:p>
        </w:tc>
      </w:tr>
      <w:tr>
        <w:tc>
          <w:tcPr>
            <w:tcW w:w="1200" w:type="dxa"/>
            <w:vAlign w:val="center"/>
          </w:tcPr>
          <w:p>
            <w:pPr>
              <w:pStyle w:val="TableText"/>
              <w:spacing w:after="0"/>
            </w:pPr>
            <w:r>
              <w:t>需求范围扩张</w:t>
            </w:r>
          </w:p>
        </w:tc>
        <w:tc>
          <w:tcPr>
            <w:tcW w:w="2100" w:type="dxa"/>
            <w:vAlign w:val="center"/>
          </w:tcPr>
          <w:p>
            <w:pPr>
              <w:pStyle w:val="TableText"/>
              <w:spacing w:after="0"/>
            </w:pPr>
            <w:r>
              <w:t>新功能不断被加入</w:t>
            </w:r>
          </w:p>
        </w:tc>
        <w:tc>
          <w:tcPr>
            <w:tcW w:w="1800" w:type="dxa"/>
            <w:vAlign w:val="center"/>
          </w:tcPr>
          <w:p>
            <w:pPr>
              <w:pStyle w:val="TableText"/>
              <w:spacing w:after="0"/>
            </w:pPr>
            <w:r>
              <w:t>进度与文档失控</w:t>
            </w:r>
          </w:p>
        </w:tc>
        <w:tc>
          <w:tcPr>
            <w:tcW w:w="1400" w:type="dxa"/>
            <w:vAlign w:val="center"/>
          </w:tcPr>
          <w:p>
            <w:pPr>
              <w:pStyle w:val="TableText"/>
              <w:spacing w:after="0"/>
            </w:pPr>
            <w:r>
              <w:t>冻结范围，优先核心功能</w:t>
            </w:r>
          </w:p>
        </w:tc>
        <w:tc>
          <w:tcPr>
            <w:tcW w:w="2860" w:type="dxa"/>
            <w:vAlign w:val="center"/>
          </w:tcPr>
          <w:p>
            <w:pPr>
              <w:pStyle w:val="TableText"/>
              <w:spacing w:after="0"/>
            </w:pPr>
            <w:r>
              <w:t>项目负责人</w:t>
            </w:r>
          </w:p>
        </w:tc>
      </w:tr>
      <w:tr>
        <w:tc>
          <w:tcPr>
            <w:tcW w:w="1200" w:type="dxa"/>
            <w:vAlign w:val="center"/>
          </w:tcPr>
          <w:p>
            <w:pPr>
              <w:pStyle w:val="TableText"/>
              <w:spacing w:after="0"/>
            </w:pPr>
            <w:r>
              <w:t>智能服务不稳定</w:t>
            </w:r>
          </w:p>
        </w:tc>
        <w:tc>
          <w:tcPr>
            <w:tcW w:w="2100" w:type="dxa"/>
            <w:vAlign w:val="center"/>
          </w:tcPr>
          <w:p>
            <w:pPr>
              <w:pStyle w:val="TableText"/>
              <w:spacing w:after="0"/>
            </w:pPr>
            <w:r>
              <w:t>接口超时、返回异常</w:t>
            </w:r>
          </w:p>
        </w:tc>
        <w:tc>
          <w:tcPr>
            <w:tcW w:w="1800" w:type="dxa"/>
            <w:vAlign w:val="center"/>
          </w:tcPr>
          <w:p>
            <w:pPr>
              <w:pStyle w:val="TableText"/>
              <w:spacing w:after="0"/>
            </w:pPr>
            <w:r>
              <w:t>影响演示与联调</w:t>
            </w:r>
          </w:p>
        </w:tc>
        <w:tc>
          <w:tcPr>
            <w:tcW w:w="1400" w:type="dxa"/>
            <w:vAlign w:val="center"/>
          </w:tcPr>
          <w:p>
            <w:pPr>
              <w:pStyle w:val="TableText"/>
              <w:spacing w:after="0"/>
            </w:pPr>
            <w:r>
              <w:t>准备降级方案和缓存结果</w:t>
            </w:r>
          </w:p>
        </w:tc>
        <w:tc>
          <w:tcPr>
            <w:tcW w:w="2860" w:type="dxa"/>
            <w:vAlign w:val="center"/>
          </w:tcPr>
          <w:p>
            <w:pPr>
              <w:pStyle w:val="TableText"/>
              <w:spacing w:after="0"/>
            </w:pPr>
            <w:r>
              <w:t>智能/数据开发</w:t>
            </w:r>
          </w:p>
        </w:tc>
      </w:tr>
      <w:tr>
        <w:tc>
          <w:tcPr>
            <w:tcW w:w="1200" w:type="dxa"/>
            <w:vAlign w:val="center"/>
          </w:tcPr>
          <w:p>
            <w:pPr>
              <w:pStyle w:val="TableText"/>
              <w:spacing w:after="0"/>
            </w:pPr>
            <w:r>
              <w:t>数据模型反复调整</w:t>
            </w:r>
          </w:p>
        </w:tc>
        <w:tc>
          <w:tcPr>
            <w:tcW w:w="2100" w:type="dxa"/>
            <w:vAlign w:val="center"/>
          </w:tcPr>
          <w:p>
            <w:pPr>
              <w:pStyle w:val="TableText"/>
              <w:spacing w:after="0"/>
            </w:pPr>
            <w:r>
              <w:t>表结构频繁变动</w:t>
            </w:r>
          </w:p>
        </w:tc>
        <w:tc>
          <w:tcPr>
            <w:tcW w:w="1800" w:type="dxa"/>
            <w:vAlign w:val="center"/>
          </w:tcPr>
          <w:p>
            <w:pPr>
              <w:pStyle w:val="TableText"/>
              <w:spacing w:after="0"/>
            </w:pPr>
            <w:r>
              <w:t>返工成本高</w:t>
            </w:r>
          </w:p>
        </w:tc>
        <w:tc>
          <w:tcPr>
            <w:tcW w:w="1400" w:type="dxa"/>
            <w:vAlign w:val="center"/>
          </w:tcPr>
          <w:p>
            <w:pPr>
              <w:pStyle w:val="TableText"/>
              <w:spacing w:after="0"/>
            </w:pPr>
            <w:r>
              <w:t>先定核心实体，再扩展</w:t>
            </w:r>
          </w:p>
        </w:tc>
        <w:tc>
          <w:tcPr>
            <w:tcW w:w="2860" w:type="dxa"/>
            <w:vAlign w:val="center"/>
          </w:tcPr>
          <w:p>
            <w:pPr>
              <w:pStyle w:val="TableText"/>
              <w:spacing w:after="0"/>
            </w:pPr>
            <w:r>
              <w:t>后端开发</w:t>
            </w:r>
          </w:p>
        </w:tc>
      </w:tr>
      <w:tr>
        <w:tc>
          <w:tcPr>
            <w:tcW w:w="1200" w:type="dxa"/>
            <w:vAlign w:val="center"/>
          </w:tcPr>
          <w:p>
            <w:pPr>
              <w:pStyle w:val="TableText"/>
              <w:spacing w:after="0"/>
            </w:pPr>
            <w:r>
              <w:t>进度延期</w:t>
            </w:r>
          </w:p>
        </w:tc>
        <w:tc>
          <w:tcPr>
            <w:tcW w:w="2100" w:type="dxa"/>
            <w:vAlign w:val="center"/>
          </w:tcPr>
          <w:p>
            <w:pPr>
              <w:pStyle w:val="TableText"/>
              <w:spacing w:after="0"/>
            </w:pPr>
            <w:r>
              <w:t>关键里程碑未完成</w:t>
            </w:r>
          </w:p>
        </w:tc>
        <w:tc>
          <w:tcPr>
            <w:tcW w:w="1800" w:type="dxa"/>
            <w:vAlign w:val="center"/>
          </w:tcPr>
          <w:p>
            <w:pPr>
              <w:pStyle w:val="TableText"/>
              <w:spacing w:after="0"/>
            </w:pPr>
            <w:r>
              <w:t>影响收尾</w:t>
            </w:r>
          </w:p>
        </w:tc>
        <w:tc>
          <w:tcPr>
            <w:tcW w:w="1400" w:type="dxa"/>
            <w:vAlign w:val="center"/>
          </w:tcPr>
          <w:p>
            <w:pPr>
              <w:pStyle w:val="TableText"/>
              <w:spacing w:after="0"/>
            </w:pPr>
            <w:r>
              <w:t>拆分任务，压缩非核心项</w:t>
            </w:r>
          </w:p>
        </w:tc>
        <w:tc>
          <w:tcPr>
            <w:tcW w:w="2860" w:type="dxa"/>
            <w:vAlign w:val="center"/>
          </w:tcPr>
          <w:p>
            <w:pPr>
              <w:pStyle w:val="TableText"/>
              <w:spacing w:after="0"/>
            </w:pPr>
            <w:r>
              <w:t>全体</w:t>
            </w:r>
          </w:p>
        </w:tc>
      </w:tr>
      <w:tr>
        <w:tc>
          <w:tcPr>
            <w:tcW w:w="1200" w:type="dxa"/>
            <w:vAlign w:val="center"/>
          </w:tcPr>
          <w:p>
            <w:pPr>
              <w:pStyle w:val="TableText"/>
              <w:spacing w:after="0"/>
            </w:pPr>
            <w:r>
              <w:t>协作沟通不畅</w:t>
            </w:r>
          </w:p>
        </w:tc>
        <w:tc>
          <w:tcPr>
            <w:tcW w:w="2100" w:type="dxa"/>
            <w:vAlign w:val="center"/>
          </w:tcPr>
          <w:p>
            <w:pPr>
              <w:pStyle w:val="TableText"/>
              <w:spacing w:after="0"/>
            </w:pPr>
            <w:r>
              <w:t>任务重复或遗漏</w:t>
            </w:r>
          </w:p>
        </w:tc>
        <w:tc>
          <w:tcPr>
            <w:tcW w:w="1800" w:type="dxa"/>
            <w:vAlign w:val="center"/>
          </w:tcPr>
          <w:p>
            <w:pPr>
              <w:pStyle w:val="TableText"/>
              <w:spacing w:after="0"/>
            </w:pPr>
            <w:r>
              <w:t>返工、冲突</w:t>
            </w:r>
          </w:p>
        </w:tc>
        <w:tc>
          <w:tcPr>
            <w:tcW w:w="1400" w:type="dxa"/>
            <w:vAlign w:val="center"/>
          </w:tcPr>
          <w:p>
            <w:pPr>
              <w:pStyle w:val="TableText"/>
              <w:spacing w:after="0"/>
            </w:pPr>
            <w:r>
              <w:t>每周同步，明确负责人</w:t>
            </w:r>
          </w:p>
        </w:tc>
        <w:tc>
          <w:tcPr>
            <w:tcW w:w="2860" w:type="dxa"/>
            <w:vAlign w:val="center"/>
          </w:tcPr>
          <w:p>
            <w:pPr>
              <w:pStyle w:val="TableText"/>
              <w:spacing w:after="0"/>
            </w:pPr>
            <w:r>
              <w:t>项目负责人</w:t>
            </w:r>
          </w:p>
        </w:tc>
      </w:tr>
      <w:tr>
        <w:tc>
          <w:tcPr>
            <w:tcW w:w="1200" w:type="dxa"/>
            <w:vAlign w:val="center"/>
          </w:tcPr>
          <w:p>
            <w:pPr>
              <w:pStyle w:val="TableText"/>
              <w:spacing w:after="0"/>
            </w:pPr>
            <w:r>
              <w:t>测试覆盖不足</w:t>
            </w:r>
          </w:p>
        </w:tc>
        <w:tc>
          <w:tcPr>
            <w:tcW w:w="2100" w:type="dxa"/>
            <w:vAlign w:val="center"/>
          </w:tcPr>
          <w:p>
            <w:pPr>
              <w:pStyle w:val="TableText"/>
              <w:spacing w:after="0"/>
            </w:pPr>
            <w:r>
              <w:t>缺陷集中暴露</w:t>
            </w:r>
          </w:p>
        </w:tc>
        <w:tc>
          <w:tcPr>
            <w:tcW w:w="1800" w:type="dxa"/>
            <w:vAlign w:val="center"/>
          </w:tcPr>
          <w:p>
            <w:pPr>
              <w:pStyle w:val="TableText"/>
              <w:spacing w:after="0"/>
            </w:pPr>
            <w:r>
              <w:t>演示失败</w:t>
            </w:r>
          </w:p>
        </w:tc>
        <w:tc>
          <w:tcPr>
            <w:tcW w:w="1400" w:type="dxa"/>
            <w:vAlign w:val="center"/>
          </w:tcPr>
          <w:p>
            <w:pPr>
              <w:pStyle w:val="TableText"/>
              <w:spacing w:after="0"/>
            </w:pPr>
            <w:r>
              <w:t>提前回归，建立冒烟测试</w:t>
            </w:r>
          </w:p>
        </w:tc>
        <w:tc>
          <w:tcPr>
            <w:tcW w:w="2860" w:type="dxa"/>
            <w:vAlign w:val="center"/>
          </w:tcPr>
          <w:p>
            <w:pPr>
              <w:pStyle w:val="TableText"/>
              <w:spacing w:after="0"/>
            </w:pPr>
            <w:r>
              <w:t>测试与文档</w:t>
            </w:r>
          </w:p>
        </w:tc>
      </w:tr>
      <w:tr>
        <w:tc>
          <w:tcPr>
            <w:tcW w:w="1200" w:type="dxa"/>
            <w:vAlign w:val="center"/>
          </w:tcPr>
          <w:p>
            <w:pPr>
              <w:pStyle w:val="TableText"/>
              <w:spacing w:after="0"/>
            </w:pPr>
            <w:r>
              <w:t>安全与权限问题</w:t>
            </w:r>
          </w:p>
        </w:tc>
        <w:tc>
          <w:tcPr>
            <w:tcW w:w="2100" w:type="dxa"/>
            <w:vAlign w:val="center"/>
          </w:tcPr>
          <w:p>
            <w:pPr>
              <w:pStyle w:val="TableText"/>
              <w:spacing w:after="0"/>
            </w:pPr>
            <w:r>
              <w:t>跨用户数据访问</w:t>
            </w:r>
          </w:p>
        </w:tc>
        <w:tc>
          <w:tcPr>
            <w:tcW w:w="1800" w:type="dxa"/>
            <w:vAlign w:val="center"/>
          </w:tcPr>
          <w:p>
            <w:pPr>
              <w:pStyle w:val="TableText"/>
              <w:spacing w:after="0"/>
            </w:pPr>
            <w:r>
              <w:t>风险较高</w:t>
            </w:r>
          </w:p>
        </w:tc>
        <w:tc>
          <w:tcPr>
            <w:tcW w:w="1400" w:type="dxa"/>
            <w:vAlign w:val="center"/>
          </w:tcPr>
          <w:p>
            <w:pPr>
              <w:pStyle w:val="TableText"/>
              <w:spacing w:after="0"/>
            </w:pPr>
            <w:r>
              <w:t>统一认证和数据隔离</w:t>
            </w:r>
          </w:p>
        </w:tc>
        <w:tc>
          <w:tcPr>
            <w:tcW w:w="2860" w:type="dxa"/>
            <w:vAlign w:val="center"/>
          </w:tcPr>
          <w:p>
            <w:pPr>
              <w:pStyle w:val="TableText"/>
              <w:spacing w:after="0"/>
            </w:pPr>
            <w:r>
              <w:t>后端开发</w:t>
            </w:r>
          </w:p>
        </w:tc>
      </w:tr>
      <w:tr>
        <w:tc>
          <w:tcPr>
            <w:tcW w:w="1200" w:type="dxa"/>
            <w:vAlign w:val="center"/>
          </w:tcPr>
          <w:p>
            <w:pPr>
              <w:pStyle w:val="TableText"/>
              <w:spacing w:after="0"/>
            </w:pPr>
            <w:r>
              <w:t>文档不一致</w:t>
            </w:r>
          </w:p>
        </w:tc>
        <w:tc>
          <w:tcPr>
            <w:tcW w:w="2100" w:type="dxa"/>
            <w:vAlign w:val="center"/>
          </w:tcPr>
          <w:p>
            <w:pPr>
              <w:pStyle w:val="TableText"/>
              <w:spacing w:after="0"/>
            </w:pPr>
            <w:r>
              <w:t>代码与报告口径不同</w:t>
            </w:r>
          </w:p>
        </w:tc>
        <w:tc>
          <w:tcPr>
            <w:tcW w:w="1800" w:type="dxa"/>
            <w:vAlign w:val="center"/>
          </w:tcPr>
          <w:p>
            <w:pPr>
              <w:pStyle w:val="TableText"/>
              <w:spacing w:after="0"/>
            </w:pPr>
            <w:r>
              <w:t>影响评分</w:t>
            </w:r>
          </w:p>
        </w:tc>
        <w:tc>
          <w:tcPr>
            <w:tcW w:w="1400" w:type="dxa"/>
            <w:vAlign w:val="center"/>
          </w:tcPr>
          <w:p>
            <w:pPr>
              <w:pStyle w:val="TableText"/>
              <w:spacing w:after="0"/>
            </w:pPr>
            <w:r>
              <w:t>文档与实现同步更新</w:t>
            </w:r>
          </w:p>
        </w:tc>
        <w:tc>
          <w:tcPr>
            <w:tcW w:w="2860" w:type="dxa"/>
            <w:vAlign w:val="center"/>
          </w:tcPr>
          <w:p>
            <w:pPr>
              <w:pStyle w:val="TableText"/>
              <w:spacing w:after="0"/>
            </w:pPr>
            <w:r>
              <w:t>文档负责人</w:t>
            </w:r>
          </w:p>
        </w:tc>
      </w:tr>
      <w:tr>
        <w:tc>
          <w:tcPr>
            <w:tcW w:w="1200" w:type="dxa"/>
            <w:vAlign w:val="center"/>
          </w:tcPr>
          <w:p>
            <w:pPr>
              <w:pStyle w:val="TableText"/>
              <w:spacing w:after="0"/>
            </w:pPr>
            <w:r>
              <w:t>环境配置失败</w:t>
            </w:r>
          </w:p>
        </w:tc>
        <w:tc>
          <w:tcPr>
            <w:tcW w:w="2100" w:type="dxa"/>
            <w:vAlign w:val="center"/>
          </w:tcPr>
          <w:p>
            <w:pPr>
              <w:pStyle w:val="TableText"/>
              <w:spacing w:after="0"/>
            </w:pPr>
            <w:r>
              <w:t>本地无法启动</w:t>
            </w:r>
          </w:p>
        </w:tc>
        <w:tc>
          <w:tcPr>
            <w:tcW w:w="1800" w:type="dxa"/>
            <w:vAlign w:val="center"/>
          </w:tcPr>
          <w:p>
            <w:pPr>
              <w:pStyle w:val="TableText"/>
              <w:spacing w:after="0"/>
            </w:pPr>
            <w:r>
              <w:t>演示受阻</w:t>
            </w:r>
          </w:p>
        </w:tc>
        <w:tc>
          <w:tcPr>
            <w:tcW w:w="1400" w:type="dxa"/>
            <w:vAlign w:val="center"/>
          </w:tcPr>
          <w:p>
            <w:pPr>
              <w:pStyle w:val="TableText"/>
              <w:spacing w:after="0"/>
            </w:pPr>
            <w:r>
              <w:t>保留最小可运行环境</w:t>
            </w:r>
          </w:p>
        </w:tc>
        <w:tc>
          <w:tcPr>
            <w:tcW w:w="2860" w:type="dxa"/>
            <w:vAlign w:val="center"/>
          </w:tcPr>
          <w:p>
            <w:pPr>
              <w:pStyle w:val="TableText"/>
              <w:spacing w:after="0"/>
            </w:pPr>
            <w:r>
              <w:t>后端开发</w:t>
            </w:r>
          </w:p>
        </w:tc>
      </w:tr>
      <w:tr>
        <w:tc>
          <w:tcPr>
            <w:tcW w:w="1200" w:type="dxa"/>
            <w:vAlign w:val="center"/>
          </w:tcPr>
          <w:p>
            <w:pPr>
              <w:pStyle w:val="TableText"/>
              <w:spacing w:after="0"/>
            </w:pPr>
            <w:r>
              <w:t>临近提交压力</w:t>
            </w:r>
          </w:p>
        </w:tc>
        <w:tc>
          <w:tcPr>
            <w:tcW w:w="2100" w:type="dxa"/>
            <w:vAlign w:val="center"/>
          </w:tcPr>
          <w:p>
            <w:pPr>
              <w:pStyle w:val="TableText"/>
              <w:spacing w:after="0"/>
            </w:pPr>
            <w:r>
              <w:t>大量事项堆积</w:t>
            </w:r>
          </w:p>
        </w:tc>
        <w:tc>
          <w:tcPr>
            <w:tcW w:w="1800" w:type="dxa"/>
            <w:vAlign w:val="center"/>
          </w:tcPr>
          <w:p>
            <w:pPr>
              <w:pStyle w:val="TableText"/>
              <w:spacing w:after="0"/>
            </w:pPr>
            <w:r>
              <w:t>质量下降</w:t>
            </w:r>
          </w:p>
        </w:tc>
        <w:tc>
          <w:tcPr>
            <w:tcW w:w="1400" w:type="dxa"/>
            <w:vAlign w:val="center"/>
          </w:tcPr>
          <w:p>
            <w:pPr>
              <w:pStyle w:val="TableText"/>
              <w:spacing w:after="0"/>
            </w:pPr>
            <w:r>
              <w:t>提前冻结并预留缓冲</w:t>
            </w:r>
          </w:p>
        </w:tc>
        <w:tc>
          <w:tcPr>
            <w:tcW w:w="2860" w:type="dxa"/>
            <w:vAlign w:val="center"/>
          </w:tcPr>
          <w:p>
            <w:pPr>
              <w:pStyle w:val="TableText"/>
              <w:spacing w:after="0"/>
            </w:pPr>
            <w:r>
              <w:t>项目负责人</w:t>
            </w:r>
          </w:p>
        </w:tc>
      </w:tr>
      <w:tr>
        <w:tc>
          <w:tcPr>
            <w:tcW w:w="1200" w:type="dxa"/>
            <w:vAlign w:val="center"/>
          </w:tcPr>
          <w:p>
            <w:pPr>
              <w:pStyle w:val="TableText"/>
              <w:spacing w:after="0"/>
            </w:pPr>
            <w:r>
              <w:t>Codex 生成内容错误</w:t>
            </w:r>
          </w:p>
        </w:tc>
        <w:tc>
          <w:tcPr>
            <w:tcW w:w="2100" w:type="dxa"/>
            <w:vAlign w:val="center"/>
          </w:tcPr>
          <w:p>
            <w:pPr>
              <w:pStyle w:val="TableText"/>
              <w:spacing w:after="0"/>
            </w:pPr>
            <w:r>
              <w:t>代码或文档未复核直接使用</w:t>
            </w:r>
          </w:p>
        </w:tc>
        <w:tc>
          <w:tcPr>
            <w:tcW w:w="1800" w:type="dxa"/>
            <w:vAlign w:val="center"/>
          </w:tcPr>
          <w:p>
            <w:pPr>
              <w:pStyle w:val="TableText"/>
              <w:spacing w:after="0"/>
            </w:pPr>
            <w:r>
              <w:t>功能异常或报告失真</w:t>
            </w:r>
          </w:p>
        </w:tc>
        <w:tc>
          <w:tcPr>
            <w:tcW w:w="1400" w:type="dxa"/>
            <w:vAlign w:val="center"/>
          </w:tcPr>
          <w:p>
            <w:pPr>
              <w:pStyle w:val="TableText"/>
              <w:spacing w:after="0"/>
            </w:pPr>
            <w:r>
              <w:t>人工审查、运行验证、保留修改记录</w:t>
            </w:r>
          </w:p>
        </w:tc>
        <w:tc>
          <w:tcPr>
            <w:tcW w:w="2860" w:type="dxa"/>
            <w:vAlign w:val="center"/>
          </w:tcPr>
          <w:p>
            <w:pPr>
              <w:pStyle w:val="TableText"/>
              <w:spacing w:after="0"/>
            </w:pPr>
            <w:r>
              <w:t>全栈开发</w:t>
            </w:r>
          </w:p>
        </w:tc>
      </w:tr>
      <w:tr>
        <w:tc>
          <w:tcPr>
            <w:tcW w:w="1200" w:type="dxa"/>
            <w:vAlign w:val="center"/>
          </w:tcPr>
          <w:p>
            <w:pPr>
              <w:pStyle w:val="TableText"/>
              <w:spacing w:after="0"/>
            </w:pPr>
            <w:r>
              <w:t>云数据库异常</w:t>
            </w:r>
          </w:p>
        </w:tc>
        <w:tc>
          <w:tcPr>
            <w:tcW w:w="2100" w:type="dxa"/>
            <w:vAlign w:val="center"/>
          </w:tcPr>
          <w:p>
            <w:pPr>
              <w:pStyle w:val="TableText"/>
              <w:spacing w:after="0"/>
            </w:pPr>
            <w:r>
              <w:t>阿里云数据库连接失败或配置错误</w:t>
            </w:r>
          </w:p>
        </w:tc>
        <w:tc>
          <w:tcPr>
            <w:tcW w:w="1800" w:type="dxa"/>
            <w:vAlign w:val="center"/>
          </w:tcPr>
          <w:p>
            <w:pPr>
              <w:pStyle w:val="TableText"/>
              <w:spacing w:after="0"/>
            </w:pPr>
            <w:r>
              <w:t>数据不可用、演示中断</w:t>
            </w:r>
          </w:p>
        </w:tc>
        <w:tc>
          <w:tcPr>
            <w:tcW w:w="1400" w:type="dxa"/>
            <w:vAlign w:val="center"/>
          </w:tcPr>
          <w:p>
            <w:pPr>
              <w:pStyle w:val="TableText"/>
              <w:spacing w:after="0"/>
            </w:pPr>
            <w:r>
              <w:t>备份连接配置，准备本地备用数据</w:t>
            </w:r>
          </w:p>
        </w:tc>
        <w:tc>
          <w:tcPr>
            <w:tcW w:w="2860" w:type="dxa"/>
            <w:vAlign w:val="center"/>
          </w:tcPr>
          <w:p>
            <w:pPr>
              <w:pStyle w:val="TableText"/>
              <w:spacing w:after="0"/>
            </w:pPr>
            <w:r>
              <w:t>运维测试</w:t>
            </w:r>
          </w:p>
        </w:tc>
      </w:tr>
      <w:tr>
        <w:tc>
          <w:tcPr>
            <w:tcW w:w="1200" w:type="dxa"/>
            <w:vAlign w:val="center"/>
          </w:tcPr>
          <w:p>
            <w:pPr>
              <w:pStyle w:val="TableText"/>
              <w:spacing w:after="0"/>
            </w:pPr>
            <w:r>
              <w:t>关键人员时间不足</w:t>
            </w:r>
          </w:p>
        </w:tc>
        <w:tc>
          <w:tcPr>
            <w:tcW w:w="2100" w:type="dxa"/>
            <w:vAlign w:val="center"/>
          </w:tcPr>
          <w:p>
            <w:pPr>
              <w:pStyle w:val="TableText"/>
              <w:spacing w:after="0"/>
            </w:pPr>
            <w:r>
              <w:t>全栈开发或测试任务无法按期完成</w:t>
            </w:r>
          </w:p>
        </w:tc>
        <w:tc>
          <w:tcPr>
            <w:tcW w:w="1800" w:type="dxa"/>
            <w:vAlign w:val="center"/>
          </w:tcPr>
          <w:p>
            <w:pPr>
              <w:pStyle w:val="TableText"/>
              <w:spacing w:after="0"/>
            </w:pPr>
            <w:r>
              <w:t>多模块延期</w:t>
            </w:r>
          </w:p>
        </w:tc>
        <w:tc>
          <w:tcPr>
            <w:tcW w:w="1400" w:type="dxa"/>
            <w:vAlign w:val="center"/>
          </w:tcPr>
          <w:p>
            <w:pPr>
              <w:pStyle w:val="TableText"/>
              <w:spacing w:after="0"/>
            </w:pPr>
            <w:r>
              <w:t>降低增强项优先级，集中完成主流程</w:t>
            </w:r>
          </w:p>
        </w:tc>
        <w:tc>
          <w:tcPr>
            <w:tcW w:w="2860" w:type="dxa"/>
            <w:vAlign w:val="center"/>
          </w:tcPr>
          <w:p>
            <w:pPr>
              <w:pStyle w:val="TableText"/>
              <w:spacing w:after="0"/>
            </w:pPr>
            <w:r>
              <w:t>项目负责人</w:t>
            </w:r>
          </w:p>
        </w:tc>
      </w:tr>
      <w:tr>
        <w:tc>
          <w:tcPr>
            <w:tcW w:w="1200" w:type="dxa"/>
            <w:vAlign w:val="center"/>
          </w:tcPr>
          <w:p>
            <w:pPr>
              <w:pStyle w:val="TableText"/>
              <w:spacing w:after="0"/>
            </w:pPr>
            <w:r>
              <w:t>Workbench 状态丢失</w:t>
            </w:r>
          </w:p>
        </w:tc>
        <w:tc>
          <w:tcPr>
            <w:tcW w:w="2100" w:type="dxa"/>
            <w:vAlign w:val="center"/>
          </w:tcPr>
          <w:p>
            <w:pPr>
              <w:pStyle w:val="TableText"/>
              <w:spacing w:after="0"/>
            </w:pPr>
            <w:r>
              <w:t>刷新或重新进入后布局、打开资源、AI Studio 结果丢失</w:t>
            </w:r>
          </w:p>
        </w:tc>
        <w:tc>
          <w:tcPr>
            <w:tcW w:w="1800" w:type="dxa"/>
            <w:vAlign w:val="center"/>
          </w:tcPr>
          <w:p>
            <w:pPr>
              <w:pStyle w:val="TableText"/>
              <w:spacing w:after="0"/>
            </w:pPr>
            <w:r>
              <w:t>学习现场不可持续</w:t>
            </w:r>
          </w:p>
        </w:tc>
        <w:tc>
          <w:tcPr>
            <w:tcW w:w="1400" w:type="dxa"/>
            <w:vAlign w:val="center"/>
          </w:tcPr>
          <w:p>
            <w:pPr>
              <w:pStyle w:val="TableText"/>
              <w:spacing w:after="0"/>
            </w:pPr>
            <w:r>
              <w:t>检查 stateJson 保存与恢复，准备固定演示现场</w:t>
            </w:r>
          </w:p>
        </w:tc>
        <w:tc>
          <w:tcPr>
            <w:tcW w:w="2860" w:type="dxa"/>
            <w:vAlign w:val="center"/>
          </w:tcPr>
          <w:p>
            <w:pPr>
              <w:pStyle w:val="TableText"/>
              <w:spacing w:after="0"/>
            </w:pPr>
            <w:r>
              <w:t>全栈开发</w:t>
            </w:r>
          </w:p>
        </w:tc>
      </w:tr>
      <w:tr>
        <w:tc>
          <w:tcPr>
            <w:tcW w:w="1200" w:type="dxa"/>
            <w:vAlign w:val="center"/>
          </w:tcPr>
          <w:p>
            <w:pPr>
              <w:pStyle w:val="TableText"/>
              <w:spacing w:after="0"/>
            </w:pPr>
            <w:r>
              <w:t>资料索引失败</w:t>
            </w:r>
          </w:p>
        </w:tc>
        <w:tc>
          <w:tcPr>
            <w:tcW w:w="2100" w:type="dxa"/>
            <w:vAlign w:val="center"/>
          </w:tcPr>
          <w:p>
            <w:pPr>
              <w:pStyle w:val="TableText"/>
              <w:spacing w:after="0"/>
            </w:pPr>
            <w:r>
              <w:t>PDF、网页、音视频或文本无法抽取/切块</w:t>
            </w:r>
          </w:p>
        </w:tc>
        <w:tc>
          <w:tcPr>
            <w:tcW w:w="1800" w:type="dxa"/>
            <w:vAlign w:val="center"/>
          </w:tcPr>
          <w:p>
            <w:pPr>
              <w:pStyle w:val="TableText"/>
              <w:spacing w:after="0"/>
            </w:pPr>
            <w:r>
              <w:t>RAG、图谱和规划依据不足</w:t>
            </w:r>
          </w:p>
        </w:tc>
        <w:tc>
          <w:tcPr>
            <w:tcW w:w="1400" w:type="dxa"/>
            <w:vAlign w:val="center"/>
          </w:tcPr>
          <w:p>
            <w:pPr>
              <w:pStyle w:val="TableText"/>
              <w:spacing w:after="0"/>
            </w:pPr>
            <w:r>
              <w:t>提前索引演示资料，保留已处理样例</w:t>
            </w:r>
          </w:p>
        </w:tc>
        <w:tc>
          <w:tcPr>
            <w:tcW w:w="2860" w:type="dxa"/>
            <w:vAlign w:val="center"/>
          </w:tcPr>
          <w:p>
            <w:pPr>
              <w:pStyle w:val="TableText"/>
              <w:spacing w:after="0"/>
            </w:pPr>
            <w:r>
              <w:t>运维测试</w:t>
            </w:r>
          </w:p>
        </w:tc>
      </w:tr>
      <w:tr>
        <w:tc>
          <w:tcPr>
            <w:tcW w:w="1200" w:type="dxa"/>
            <w:vAlign w:val="center"/>
          </w:tcPr>
          <w:p>
            <w:pPr>
              <w:pStyle w:val="TableText"/>
              <w:spacing w:after="0"/>
            </w:pPr>
            <w:r>
              <w:t>Agent 写操作误触发</w:t>
            </w:r>
          </w:p>
        </w:tc>
        <w:tc>
          <w:tcPr>
            <w:tcW w:w="2100" w:type="dxa"/>
            <w:vAlign w:val="center"/>
          </w:tcPr>
          <w:p>
            <w:pPr>
              <w:pStyle w:val="TableText"/>
              <w:spacing w:after="0"/>
            </w:pPr>
            <w:r>
              <w:t>未经确认创建文件、计划或 Workbench</w:t>
            </w:r>
          </w:p>
        </w:tc>
        <w:tc>
          <w:tcPr>
            <w:tcW w:w="1800" w:type="dxa"/>
            <w:vAlign w:val="center"/>
          </w:tcPr>
          <w:p>
            <w:pPr>
              <w:pStyle w:val="TableText"/>
              <w:spacing w:after="0"/>
            </w:pPr>
            <w:r>
              <w:t>用户数据被意外修改</w:t>
            </w:r>
          </w:p>
        </w:tc>
        <w:tc>
          <w:tcPr>
            <w:tcW w:w="1400" w:type="dxa"/>
            <w:vAlign w:val="center"/>
          </w:tcPr>
          <w:p>
            <w:pPr>
              <w:pStyle w:val="TableText"/>
              <w:spacing w:after="0"/>
            </w:pPr>
            <w:r>
              <w:t>写工具先 proposal，审批后执行</w:t>
            </w:r>
          </w:p>
        </w:tc>
        <w:tc>
          <w:tcPr>
            <w:tcW w:w="2860" w:type="dxa"/>
            <w:vAlign w:val="center"/>
          </w:tcPr>
          <w:p>
            <w:pPr>
              <w:pStyle w:val="TableText"/>
              <w:spacing w:after="0"/>
            </w:pPr>
            <w:r>
              <w:t>全栈开发</w:t>
            </w:r>
          </w:p>
        </w:tc>
      </w:tr>
      <w:tr>
        <w:tc>
          <w:tcPr>
            <w:tcW w:w="1200" w:type="dxa"/>
            <w:vAlign w:val="center"/>
          </w:tcPr>
          <w:p>
            <w:pPr>
              <w:pStyle w:val="TableText"/>
              <w:spacing w:after="0"/>
            </w:pPr>
            <w:r>
              <w:t>学习画像依据不足</w:t>
            </w:r>
          </w:p>
        </w:tc>
        <w:tc>
          <w:tcPr>
            <w:tcW w:w="2100" w:type="dxa"/>
            <w:vAlign w:val="center"/>
          </w:tcPr>
          <w:p>
            <w:pPr>
              <w:pStyle w:val="TableText"/>
              <w:spacing w:after="0"/>
            </w:pPr>
            <w:r>
              <w:t>学习事件、记忆或掌握度信号缺失</w:t>
            </w:r>
          </w:p>
        </w:tc>
        <w:tc>
          <w:tcPr>
            <w:tcW w:w="1800" w:type="dxa"/>
            <w:vAlign w:val="center"/>
          </w:tcPr>
          <w:p>
            <w:pPr>
              <w:pStyle w:val="TableText"/>
              <w:spacing w:after="0"/>
            </w:pPr>
            <w:r>
              <w:t>个性化建议空泛</w:t>
            </w:r>
          </w:p>
        </w:tc>
        <w:tc>
          <w:tcPr>
            <w:tcW w:w="1400" w:type="dxa"/>
            <w:vAlign w:val="center"/>
          </w:tcPr>
          <w:p>
            <w:pPr>
              <w:pStyle w:val="TableText"/>
              <w:spacing w:after="0"/>
            </w:pPr>
            <w:r>
              <w:t>用演示数据补足学习事件和记忆样例</w:t>
            </w:r>
          </w:p>
        </w:tc>
        <w:tc>
          <w:tcPr>
            <w:tcW w:w="2860" w:type="dxa"/>
            <w:vAlign w:val="center"/>
          </w:tcPr>
          <w:p>
            <w:pPr>
              <w:pStyle w:val="TableText"/>
              <w:spacing w:after="0"/>
            </w:pPr>
            <w:r>
              <w:t>需求与研究</w:t>
            </w:r>
          </w:p>
        </w:tc>
      </w:tr>
    </w:tbl>
    <w:p>
      <w:pPr>
        <w:pStyle w:val="BodyText"/>
        <w:spacing w:after="80"/>
      </w:pPr>
    </w:p>
    <w:p>
      <w:pPr>
        <w:pStyle w:val="BodyText"/>
      </w:pPr>
      <w:r>
        <w:t>风险评估时应同时考虑发生概率和影响程度。对于高概率高影响风险，例如需求范围扩张和时间压缩，应在计划阶段就采取预防措施；对于低概率高影响风险，例如数据库连接失败和权限安全问题，应准备应急方案；对于中等风险，例如性能问题和文档遗漏，应通过阶段检查持续监控。</w:t>
      </w:r>
    </w:p>
    <w:p>
      <w:pPr>
        <w:pStyle w:val="Heading2"/>
        <w:keepNext/>
      </w:pPr>
      <w:r>
        <w:t>四、风险防范措施和处理措施</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风险类型</w:t>
            </w:r>
          </w:p>
        </w:tc>
        <w:tc>
          <w:tcPr>
            <w:tcW w:w="2300" w:type="dxa"/>
            <w:shd w:fill="F2F4F7"/>
            <w:vAlign w:val="center"/>
          </w:tcPr>
          <w:p>
            <w:pPr>
              <w:pStyle w:val="TableText"/>
              <w:spacing w:after="0"/>
            </w:pPr>
            <w:r>
              <w:rPr>
                <w:b/>
              </w:rPr>
              <w:t>防范措施</w:t>
            </w:r>
          </w:p>
        </w:tc>
        <w:tc>
          <w:tcPr>
            <w:tcW w:w="4860" w:type="dxa"/>
            <w:shd w:fill="F2F4F7"/>
            <w:vAlign w:val="center"/>
          </w:tcPr>
          <w:p>
            <w:pPr>
              <w:pStyle w:val="TableText"/>
              <w:spacing w:after="0"/>
            </w:pPr>
            <w:r>
              <w:rPr>
                <w:b/>
              </w:rPr>
              <w:t>发生后的处理措施</w:t>
            </w:r>
          </w:p>
        </w:tc>
      </w:tr>
      <w:tr>
        <w:tc>
          <w:tcPr>
            <w:tcW w:w="2200" w:type="dxa"/>
            <w:vAlign w:val="center"/>
          </w:tcPr>
          <w:p>
            <w:pPr>
              <w:pStyle w:val="TableText"/>
              <w:spacing w:after="0"/>
            </w:pPr>
            <w:r>
              <w:t>需求风险</w:t>
            </w:r>
          </w:p>
        </w:tc>
        <w:tc>
          <w:tcPr>
            <w:tcW w:w="2300" w:type="dxa"/>
            <w:vAlign w:val="center"/>
          </w:tcPr>
          <w:p>
            <w:pPr>
              <w:pStyle w:val="TableText"/>
              <w:spacing w:after="0"/>
            </w:pPr>
            <w:r>
              <w:t>需求冻结、变更审批、范围基线</w:t>
            </w:r>
          </w:p>
        </w:tc>
        <w:tc>
          <w:tcPr>
            <w:tcW w:w="4860" w:type="dxa"/>
            <w:vAlign w:val="center"/>
          </w:tcPr>
          <w:p>
            <w:pPr>
              <w:pStyle w:val="TableText"/>
              <w:spacing w:after="0"/>
            </w:pPr>
            <w:r>
              <w:t>延期低优先级功能，优先保证核心流程</w:t>
            </w:r>
          </w:p>
        </w:tc>
      </w:tr>
      <w:tr>
        <w:tc>
          <w:tcPr>
            <w:tcW w:w="2200" w:type="dxa"/>
            <w:vAlign w:val="center"/>
          </w:tcPr>
          <w:p>
            <w:pPr>
              <w:pStyle w:val="TableText"/>
              <w:spacing w:after="0"/>
            </w:pPr>
            <w:r>
              <w:t>技术风险</w:t>
            </w:r>
          </w:p>
        </w:tc>
        <w:tc>
          <w:tcPr>
            <w:tcW w:w="2300" w:type="dxa"/>
            <w:vAlign w:val="center"/>
          </w:tcPr>
          <w:p>
            <w:pPr>
              <w:pStyle w:val="TableText"/>
              <w:spacing w:after="0"/>
            </w:pPr>
            <w:r>
              <w:t>提前验证关键接口，保留降级路径</w:t>
            </w:r>
          </w:p>
        </w:tc>
        <w:tc>
          <w:tcPr>
            <w:tcW w:w="4860" w:type="dxa"/>
            <w:vAlign w:val="center"/>
          </w:tcPr>
          <w:p>
            <w:pPr>
              <w:pStyle w:val="TableText"/>
              <w:spacing w:after="0"/>
            </w:pPr>
            <w:r>
              <w:t>使用缓存数据、静态演示或回退实现</w:t>
            </w:r>
          </w:p>
        </w:tc>
      </w:tr>
      <w:tr>
        <w:tc>
          <w:tcPr>
            <w:tcW w:w="2200" w:type="dxa"/>
            <w:vAlign w:val="center"/>
          </w:tcPr>
          <w:p>
            <w:pPr>
              <w:pStyle w:val="TableText"/>
              <w:spacing w:after="0"/>
            </w:pPr>
            <w:r>
              <w:t>进度风险</w:t>
            </w:r>
          </w:p>
        </w:tc>
        <w:tc>
          <w:tcPr>
            <w:tcW w:w="2300" w:type="dxa"/>
            <w:vAlign w:val="center"/>
          </w:tcPr>
          <w:p>
            <w:pPr>
              <w:pStyle w:val="TableText"/>
              <w:spacing w:after="0"/>
            </w:pPr>
            <w:r>
              <w:t>每周检查里程碑，预留缓冲</w:t>
            </w:r>
          </w:p>
        </w:tc>
        <w:tc>
          <w:tcPr>
            <w:tcW w:w="4860" w:type="dxa"/>
            <w:vAlign w:val="center"/>
          </w:tcPr>
          <w:p>
            <w:pPr>
              <w:pStyle w:val="TableText"/>
              <w:spacing w:after="0"/>
            </w:pPr>
            <w:r>
              <w:t>压缩增强项，集中人力处理阻塞</w:t>
            </w:r>
          </w:p>
        </w:tc>
      </w:tr>
      <w:tr>
        <w:tc>
          <w:tcPr>
            <w:tcW w:w="2200" w:type="dxa"/>
            <w:vAlign w:val="center"/>
          </w:tcPr>
          <w:p>
            <w:pPr>
              <w:pStyle w:val="TableText"/>
              <w:spacing w:after="0"/>
            </w:pPr>
            <w:r>
              <w:t>质量风险</w:t>
            </w:r>
          </w:p>
        </w:tc>
        <w:tc>
          <w:tcPr>
            <w:tcW w:w="2300" w:type="dxa"/>
            <w:vAlign w:val="center"/>
          </w:tcPr>
          <w:p>
            <w:pPr>
              <w:pStyle w:val="TableText"/>
              <w:spacing w:after="0"/>
            </w:pPr>
            <w:r>
              <w:t>评审、冒烟测试、文档校对</w:t>
            </w:r>
          </w:p>
        </w:tc>
        <w:tc>
          <w:tcPr>
            <w:tcW w:w="4860" w:type="dxa"/>
            <w:vAlign w:val="center"/>
          </w:tcPr>
          <w:p>
            <w:pPr>
              <w:pStyle w:val="TableText"/>
              <w:spacing w:after="0"/>
            </w:pPr>
            <w:r>
              <w:t>建立缺陷清单，按严重级别修复</w:t>
            </w:r>
          </w:p>
        </w:tc>
      </w:tr>
      <w:tr>
        <w:tc>
          <w:tcPr>
            <w:tcW w:w="2200" w:type="dxa"/>
            <w:vAlign w:val="center"/>
          </w:tcPr>
          <w:p>
            <w:pPr>
              <w:pStyle w:val="TableText"/>
              <w:spacing w:after="0"/>
            </w:pPr>
            <w:r>
              <w:t>环境风险</w:t>
            </w:r>
          </w:p>
        </w:tc>
        <w:tc>
          <w:tcPr>
            <w:tcW w:w="2300" w:type="dxa"/>
            <w:vAlign w:val="center"/>
          </w:tcPr>
          <w:p>
            <w:pPr>
              <w:pStyle w:val="TableText"/>
              <w:spacing w:after="0"/>
            </w:pPr>
            <w:r>
              <w:t>准备本地最小运行环境</w:t>
            </w:r>
          </w:p>
        </w:tc>
        <w:tc>
          <w:tcPr>
            <w:tcW w:w="4860" w:type="dxa"/>
            <w:vAlign w:val="center"/>
          </w:tcPr>
          <w:p>
            <w:pPr>
              <w:pStyle w:val="TableText"/>
              <w:spacing w:after="0"/>
            </w:pPr>
            <w:r>
              <w:t>启用备用端口、备用数据和备用演示</w:t>
            </w:r>
          </w:p>
        </w:tc>
      </w:tr>
      <w:tr>
        <w:tc>
          <w:tcPr>
            <w:tcW w:w="2200" w:type="dxa"/>
            <w:vAlign w:val="center"/>
          </w:tcPr>
          <w:p>
            <w:pPr>
              <w:pStyle w:val="TableText"/>
              <w:spacing w:after="0"/>
            </w:pPr>
            <w:r>
              <w:t>成本风险</w:t>
            </w:r>
          </w:p>
        </w:tc>
        <w:tc>
          <w:tcPr>
            <w:tcW w:w="2300" w:type="dxa"/>
            <w:vAlign w:val="center"/>
          </w:tcPr>
          <w:p>
            <w:pPr>
              <w:pStyle w:val="TableText"/>
              <w:spacing w:after="0"/>
            </w:pPr>
            <w:r>
              <w:t>控制 Codex、模型和云服务额度</w:t>
            </w:r>
          </w:p>
        </w:tc>
        <w:tc>
          <w:tcPr>
            <w:tcW w:w="4860" w:type="dxa"/>
            <w:vAlign w:val="center"/>
          </w:tcPr>
          <w:p>
            <w:pPr>
              <w:pStyle w:val="TableText"/>
              <w:spacing w:after="0"/>
            </w:pPr>
            <w:r>
              <w:t>暂停非必要调用，使用已有样例数据</w:t>
            </w:r>
          </w:p>
        </w:tc>
      </w:tr>
      <w:tr>
        <w:tc>
          <w:tcPr>
            <w:tcW w:w="2200" w:type="dxa"/>
            <w:vAlign w:val="center"/>
          </w:tcPr>
          <w:p>
            <w:pPr>
              <w:pStyle w:val="TableText"/>
              <w:spacing w:after="0"/>
            </w:pPr>
            <w:r>
              <w:t>人员风险</w:t>
            </w:r>
          </w:p>
        </w:tc>
        <w:tc>
          <w:tcPr>
            <w:tcW w:w="2300" w:type="dxa"/>
            <w:vAlign w:val="center"/>
          </w:tcPr>
          <w:p>
            <w:pPr>
              <w:pStyle w:val="TableText"/>
              <w:spacing w:after="0"/>
            </w:pPr>
            <w:r>
              <w:t>明确责任边界和阶段交付物</w:t>
            </w:r>
          </w:p>
        </w:tc>
        <w:tc>
          <w:tcPr>
            <w:tcW w:w="4860" w:type="dxa"/>
            <w:vAlign w:val="center"/>
          </w:tcPr>
          <w:p>
            <w:pPr>
              <w:pStyle w:val="TableText"/>
              <w:spacing w:after="0"/>
            </w:pPr>
            <w:r>
              <w:t>调整任务优先级，减少低价值功能</w:t>
            </w:r>
          </w:p>
        </w:tc>
      </w:tr>
    </w:tbl>
    <w:p>
      <w:pPr>
        <w:pStyle w:val="BodyText"/>
        <w:spacing w:after="80"/>
      </w:pPr>
    </w:p>
    <w:p>
      <w:pPr>
        <w:pStyle w:val="BodyText"/>
      </w:pPr>
      <w:r>
        <w:t>防范措施强调提前建设能力，处理措施强调风险发生后的快速止损。例如，智能服务不稳定时，防范措施是提前验证接口和准备缓存结果；发生后则应立即切换到缓存、静态演示或文字说明。云数据库异常时，防范措施是保留连接配置和备份数据；发生后则应切换本地环境或备用截图，确保答辩流程不中断。</w:t>
      </w:r>
    </w:p>
    <w:p>
      <w:pPr>
        <w:pStyle w:val="Heading2"/>
        <w:keepNext/>
      </w:pPr>
      <w:r>
        <w:t>五、风险触发后的处理原则</w:t>
      </w:r>
    </w:p>
    <w:p>
      <w:pPr>
        <w:pStyle w:val="BodyText"/>
        <w:numPr>
          <w:ilvl w:val="0"/>
          <w:numId w:val="2"/>
        </w:numPr>
      </w:pPr>
      <w:r>
        <w:t>先保证可交付。</w:t>
      </w:r>
    </w:p>
    <w:p>
      <w:pPr>
        <w:pStyle w:val="BodyText"/>
        <w:numPr>
          <w:ilvl w:val="0"/>
          <w:numId w:val="2"/>
        </w:numPr>
      </w:pPr>
      <w:r>
        <w:t>先处理高概率高影响风险。</w:t>
      </w:r>
    </w:p>
    <w:p>
      <w:pPr>
        <w:pStyle w:val="BodyText"/>
        <w:numPr>
          <w:ilvl w:val="0"/>
          <w:numId w:val="2"/>
        </w:numPr>
      </w:pPr>
      <w:r>
        <w:t>先保核心流程，再保扩展能力。</w:t>
      </w:r>
    </w:p>
    <w:p>
      <w:pPr>
        <w:pStyle w:val="BodyText"/>
        <w:numPr>
          <w:ilvl w:val="0"/>
          <w:numId w:val="2"/>
        </w:numPr>
      </w:pPr>
      <w:r>
        <w:t>不为单个风险牺牲整个提交节点。</w:t>
      </w:r>
    </w:p>
    <w:p>
      <w:pPr>
        <w:pStyle w:val="BodyText"/>
        <w:numPr>
          <w:ilvl w:val="0"/>
          <w:numId w:val="2"/>
        </w:numPr>
      </w:pPr>
      <w:r>
        <w:t>先恢复主流程，再分析深层原因。</w:t>
      </w:r>
    </w:p>
    <w:p>
      <w:pPr>
        <w:pStyle w:val="BodyText"/>
        <w:numPr>
          <w:ilvl w:val="0"/>
          <w:numId w:val="2"/>
        </w:numPr>
      </w:pPr>
      <w:r>
        <w:t>风险处理结果要同步到报告、测试记录和演示脚本。</w:t>
      </w:r>
    </w:p>
    <w:p>
      <w:pPr>
        <w:pStyle w:val="BodyText"/>
      </w:pPr>
      <w:r>
        <w:t>风险触发后，团队应避免陷入长时间排查而忽略提交节点。若问题短时间内无法彻底解决，应先完成可运行版本或降级版本，再安排后续修复。风险处理结束后，需要记录触发原因、处理过程和剩余影响，为风险管理报告和项目总结提供依据。</w:t>
      </w:r>
    </w:p>
    <w:p>
      <w:pPr>
        <w:pStyle w:val="Heading2"/>
        <w:keepNext/>
      </w:pPr>
      <w:r>
        <w:t>六、风险责任分配</w:t>
      </w:r>
    </w:p>
    <w:p>
      <w:pPr>
        <w:pStyle w:val="BodyText"/>
        <w:numPr>
          <w:ilvl w:val="0"/>
          <w:numId w:val="1"/>
        </w:numPr>
      </w:pPr>
      <w:r>
        <w:t>项目统筹：范围、进度、成本和文档一致性风险。</w:t>
      </w:r>
    </w:p>
    <w:p>
      <w:pPr>
        <w:pStyle w:val="BodyText"/>
        <w:numPr>
          <w:ilvl w:val="0"/>
          <w:numId w:val="1"/>
        </w:numPr>
      </w:pPr>
      <w:r>
        <w:t>全栈开发负责人：前端、后端、数据库模型、接口、权限和智能能力接入风险。</w:t>
      </w:r>
    </w:p>
    <w:p>
      <w:pPr>
        <w:pStyle w:val="BodyText"/>
        <w:numPr>
          <w:ilvl w:val="0"/>
          <w:numId w:val="1"/>
        </w:numPr>
      </w:pPr>
      <w:r>
        <w:t>运维测试负责人：部署环境、阿里云数据库、演示数据、测试回归和备用方案风险。</w:t>
      </w:r>
    </w:p>
    <w:p>
      <w:pPr>
        <w:pStyle w:val="BodyText"/>
        <w:numPr>
          <w:ilvl w:val="0"/>
          <w:numId w:val="1"/>
        </w:numPr>
      </w:pPr>
      <w:r>
        <w:t>需求与研究负责人：需求边界、开源项目参考、论文方向、课程报告口径和功能优先级风险。</w:t>
      </w:r>
    </w:p>
    <w:p>
      <w:pPr>
        <w:pStyle w:val="BodyText"/>
      </w:pPr>
      <w:r>
        <w:t>虽然团队规模较小，但风险责任不能模糊。每个风险都应至少有一个主责人和一个协助人，主责人负责判断风险状态和提出处理方案，协助人负责提供验证、资料或环境支持。</w:t>
      </w:r>
    </w:p>
    <w:p>
      <w:pPr>
        <w:pStyle w:val="Heading2"/>
        <w:keepNext/>
      </w:pPr>
      <w:r>
        <w:t>七、风险监控办法</w:t>
      </w:r>
    </w:p>
    <w:p>
      <w:pPr>
        <w:pStyle w:val="BodyText"/>
        <w:numPr>
          <w:ilvl w:val="0"/>
          <w:numId w:val="1"/>
        </w:numPr>
      </w:pPr>
      <w:r>
        <w:t>每周更新风险清单。</w:t>
      </w:r>
    </w:p>
    <w:p>
      <w:pPr>
        <w:pStyle w:val="BodyText"/>
        <w:numPr>
          <w:ilvl w:val="0"/>
          <w:numId w:val="1"/>
        </w:numPr>
      </w:pPr>
      <w:r>
        <w:t>对高风险项设置明确触发阈值。</w:t>
      </w:r>
    </w:p>
    <w:p>
      <w:pPr>
        <w:pStyle w:val="BodyText"/>
        <w:numPr>
          <w:ilvl w:val="0"/>
          <w:numId w:val="1"/>
        </w:numPr>
      </w:pPr>
      <w:r>
        <w:t>风险变化要同步到进度计划和质量计划。</w:t>
      </w:r>
    </w:p>
    <w:p>
      <w:pPr>
        <w:pStyle w:val="BodyText"/>
        <w:numPr>
          <w:ilvl w:val="0"/>
          <w:numId w:val="1"/>
        </w:numPr>
      </w:pPr>
      <w:r>
        <w:t>一旦风险落地，立刻启动应急措施，而不是继续观察拖延。</w:t>
      </w:r>
    </w:p>
    <w:p>
      <w:pPr>
        <w:pStyle w:val="BodyText"/>
        <w:numPr>
          <w:ilvl w:val="0"/>
          <w:numId w:val="1"/>
        </w:numPr>
      </w:pPr>
      <w:r>
        <w:t>在每个里程碑检查时重新评估风险概率和影响。</w:t>
      </w:r>
    </w:p>
    <w:p>
      <w:pPr>
        <w:pStyle w:val="BodyText"/>
        <w:numPr>
          <w:ilvl w:val="0"/>
          <w:numId w:val="1"/>
        </w:numPr>
      </w:pPr>
      <w:r>
        <w:t>对高风险项保留处理记录，便于后续总结。</w:t>
      </w:r>
    </w:p>
    <w:p>
      <w:pPr>
        <w:pStyle w:val="BodyText"/>
        <w:numPr>
          <w:ilvl w:val="0"/>
          <w:numId w:val="1"/>
        </w:numPr>
      </w:pPr>
      <w:r>
        <w:t>将风险变化同步到成本计划和进度计划，例如外部服务消耗增加或收尾时间被压缩。</w:t>
      </w:r>
    </w:p>
    <w:p>
      <w:pPr>
        <w:pStyle w:val="BodyText"/>
      </w:pPr>
      <w:r>
        <w:t>风险监控可以采用简单表格记录，不必建立复杂系统。表格字段建议包括风险编号、风险名称、当前等级、触发标志、责任人、处理状态、下一步动作和关闭条件。只要记录持续更新，就能避免风险长期停留在口头层面。</w:t>
      </w:r>
    </w:p>
    <w:p>
      <w:pPr>
        <w:pStyle w:val="Heading2"/>
        <w:keepNext/>
      </w:pPr>
      <w:r>
        <w:t>八、应急响应</w:t>
      </w:r>
    </w:p>
    <w:p>
      <w:pPr>
        <w:pStyle w:val="BodyText"/>
      </w:pPr>
      <w:r>
        <w:t>若风险已发生，优先采取以下动作：</w:t>
      </w:r>
    </w:p>
    <w:p>
      <w:pPr>
        <w:pStyle w:val="BodyText"/>
        <w:numPr>
          <w:ilvl w:val="0"/>
          <w:numId w:val="2"/>
        </w:numPr>
      </w:pPr>
      <w:r>
        <w:t>回退到可运行版本。</w:t>
      </w:r>
    </w:p>
    <w:p>
      <w:pPr>
        <w:pStyle w:val="BodyText"/>
        <w:numPr>
          <w:ilvl w:val="0"/>
          <w:numId w:val="2"/>
        </w:numPr>
      </w:pPr>
      <w:r>
        <w:t>降级非核心功能。</w:t>
      </w:r>
    </w:p>
    <w:p>
      <w:pPr>
        <w:pStyle w:val="BodyText"/>
        <w:numPr>
          <w:ilvl w:val="0"/>
          <w:numId w:val="2"/>
        </w:numPr>
      </w:pPr>
      <w:r>
        <w:t>用可演示材料替代复杂功能。</w:t>
      </w:r>
    </w:p>
    <w:p>
      <w:pPr>
        <w:pStyle w:val="BodyText"/>
        <w:numPr>
          <w:ilvl w:val="0"/>
          <w:numId w:val="2"/>
        </w:numPr>
      </w:pPr>
      <w:r>
        <w:t>保证课程提交节点和答辩材料完整。</w:t>
      </w:r>
    </w:p>
    <w:p>
      <w:pPr>
        <w:pStyle w:val="BodyText"/>
        <w:numPr>
          <w:ilvl w:val="0"/>
          <w:numId w:val="2"/>
        </w:numPr>
      </w:pPr>
      <w:r>
        <w:t>通知相关成员同步修改测试记录、截图和报告表述。</w:t>
      </w:r>
    </w:p>
    <w:p>
      <w:pPr>
        <w:pStyle w:val="BodyText"/>
        <w:numPr>
          <w:ilvl w:val="0"/>
          <w:numId w:val="2"/>
        </w:numPr>
      </w:pPr>
      <w:r>
        <w:t>对外部服务类问题保留错误现象和替代方案说明。</w:t>
      </w:r>
    </w:p>
    <w:p>
      <w:pPr>
        <w:pStyle w:val="BodyText"/>
      </w:pPr>
      <w:r>
        <w:t>应急响应还需要考虑演示场景。答辩现场或课程检查时，最重要的是能够稳定展示项目价值。因此，团队应提前准备一条最短演示路径，包括登录、进入课程空间、查看资料、调用智能能力或展示生成结果。即使高级功能不可用，也能通过这条路径说明项目核心设计。</w:t>
      </w:r>
    </w:p>
    <w:p>
      <w:pPr>
        <w:pStyle w:val="BodyText"/>
      </w:pPr>
      <w:r>
        <w:t>针对业务模块的应急策略也要更具体：知识图谱实时生成失败时，展示已生成的课程概念和先修关系；AI Terminal 模型不可用时，展示历史会话和已保存的生成计划；AI Studio 渲染失败时，展示生成的 Markdown、测验或闪卡文本产物；音视频分析不可用时，展示文本资料分析链路；阿里云数据库异常时，切换到本地演示 Workspace。这样每个风险都有对应的产品级降级路径。</w:t>
      </w:r>
    </w:p>
    <w:p>
      <w:pPr>
        <w:pStyle w:val="Heading2"/>
        <w:keepNext/>
      </w:pPr>
      <w:r>
        <w:t>九、补充说明</w:t>
      </w:r>
    </w:p>
    <w:p>
      <w:pPr>
        <w:pStyle w:val="BodyText"/>
      </w:pPr>
      <w:r>
        <w:t>风险计划的关键不在于“列很多风险”，而在于每个风险都能落到责任人、触发标志和动作上。这样后续的风险管理报告才能基于真实执行情况继续展开。</w:t>
      </w:r>
    </w:p>
    <w:p>
      <w:pPr>
        <w:pStyle w:val="BodyText"/>
      </w:pPr>
      <w:r>
        <w:t>本项目风险计划应与质量计划、进度计划和成本计划共同使用。进度计划决定风险发生时哪些任务可以延期，质量计划决定风险处理后的验收标准，成本计划决定可用于模型调用、云服务和演示材料的预算边界。四类计划相互对应，才能形成完整的软件项目管理闭环。</w:t>
      </w:r>
    </w:p>
    <w:p>
      <w:pPr>
        <w:pStyle w:val="Heading1"/>
        <w:pageBreakBefore/>
        <w:keepNext/>
      </w:pPr>
      <w:r>
        <w:t>07 质量计划</w:t>
      </w:r>
    </w:p>
    <w:p>
      <w:pPr>
        <w:pStyle w:val="Heading2"/>
        <w:keepNext/>
      </w:pPr>
      <w:r>
        <w:t>一、质量计划目标</w:t>
      </w:r>
    </w:p>
    <w:p>
      <w:pPr>
        <w:pStyle w:val="BodyText"/>
      </w:pPr>
      <w:r>
        <w:t>本项目的质量目标是：功能可用、数据一致、界面清晰、文档统一、演示稳定。</w:t>
      </w:r>
    </w:p>
    <w:p>
      <w:pPr>
        <w:pStyle w:val="BodyText"/>
      </w:pPr>
      <w:r>
        <w:t>具体来说，功能可用是指用户能够完成从课程空间到学习现场、资料管理和智能辅助的核心流程；数据一致是指用户、课程、资料、对话、计划和画像等对象之间的关系清楚，不能出现跨用户数据混乱；界面清晰是指主要操作路径容易理解，页面状态和反馈明确；文档统一是指 11 份课程报告使用同一项目名称、同一团队分工、同一时间线和同一成本口径；演示稳定是指本地环境和云端部署至少有一条路径可以顺利展示。</w:t>
      </w:r>
    </w:p>
    <w:p>
      <w:pPr>
        <w:pStyle w:val="Heading2"/>
        <w:keepNext/>
      </w:pPr>
      <w:r>
        <w:t>二、质量目标分解</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维度</w:t>
            </w:r>
          </w:p>
        </w:tc>
        <w:tc>
          <w:tcPr>
            <w:tcW w:w="6760" w:type="dxa"/>
            <w:shd w:fill="F2F4F7"/>
            <w:vAlign w:val="center"/>
          </w:tcPr>
          <w:p>
            <w:pPr>
              <w:pStyle w:val="TableText"/>
              <w:spacing w:after="0"/>
            </w:pPr>
            <w:r>
              <w:rPr>
                <w:b/>
              </w:rPr>
              <w:t>质量目标</w:t>
            </w:r>
          </w:p>
        </w:tc>
      </w:tr>
      <w:tr>
        <w:tc>
          <w:tcPr>
            <w:tcW w:w="2600" w:type="dxa"/>
            <w:vAlign w:val="center"/>
          </w:tcPr>
          <w:p>
            <w:pPr>
              <w:pStyle w:val="TableText"/>
              <w:spacing w:after="0"/>
            </w:pPr>
            <w:r>
              <w:t>功能质量</w:t>
            </w:r>
          </w:p>
        </w:tc>
        <w:tc>
          <w:tcPr>
            <w:tcW w:w="6760" w:type="dxa"/>
            <w:vAlign w:val="center"/>
          </w:tcPr>
          <w:p>
            <w:pPr>
              <w:pStyle w:val="TableText"/>
              <w:spacing w:after="0"/>
            </w:pPr>
            <w:r>
              <w:t>核心流程完整，可闭环运行</w:t>
            </w:r>
          </w:p>
        </w:tc>
      </w:tr>
      <w:tr>
        <w:tc>
          <w:tcPr>
            <w:tcW w:w="2600" w:type="dxa"/>
            <w:vAlign w:val="center"/>
          </w:tcPr>
          <w:p>
            <w:pPr>
              <w:pStyle w:val="TableText"/>
              <w:spacing w:after="0"/>
            </w:pPr>
            <w:r>
              <w:t>数据质量</w:t>
            </w:r>
          </w:p>
        </w:tc>
        <w:tc>
          <w:tcPr>
            <w:tcW w:w="6760" w:type="dxa"/>
            <w:vAlign w:val="center"/>
          </w:tcPr>
          <w:p>
            <w:pPr>
              <w:pStyle w:val="TableText"/>
              <w:spacing w:after="0"/>
            </w:pPr>
            <w:r>
              <w:t>数据模型清晰，主外键和归属关系正确</w:t>
            </w:r>
          </w:p>
        </w:tc>
      </w:tr>
      <w:tr>
        <w:tc>
          <w:tcPr>
            <w:tcW w:w="2600" w:type="dxa"/>
            <w:vAlign w:val="center"/>
          </w:tcPr>
          <w:p>
            <w:pPr>
              <w:pStyle w:val="TableText"/>
              <w:spacing w:after="0"/>
            </w:pPr>
            <w:r>
              <w:t>代码质量</w:t>
            </w:r>
          </w:p>
        </w:tc>
        <w:tc>
          <w:tcPr>
            <w:tcW w:w="6760" w:type="dxa"/>
            <w:vAlign w:val="center"/>
          </w:tcPr>
          <w:p>
            <w:pPr>
              <w:pStyle w:val="TableText"/>
              <w:spacing w:after="0"/>
            </w:pPr>
            <w:r>
              <w:t>命名统一，结构清楚，便于维护</w:t>
            </w:r>
          </w:p>
        </w:tc>
      </w:tr>
      <w:tr>
        <w:tc>
          <w:tcPr>
            <w:tcW w:w="2600" w:type="dxa"/>
            <w:vAlign w:val="center"/>
          </w:tcPr>
          <w:p>
            <w:pPr>
              <w:pStyle w:val="TableText"/>
              <w:spacing w:after="0"/>
            </w:pPr>
            <w:r>
              <w:t>文档质量</w:t>
            </w:r>
          </w:p>
        </w:tc>
        <w:tc>
          <w:tcPr>
            <w:tcW w:w="6760" w:type="dxa"/>
            <w:vAlign w:val="center"/>
          </w:tcPr>
          <w:p>
            <w:pPr>
              <w:pStyle w:val="TableText"/>
              <w:spacing w:after="0"/>
            </w:pPr>
            <w:r>
              <w:t>11 份课程报告口径一致</w:t>
            </w:r>
          </w:p>
        </w:tc>
      </w:tr>
      <w:tr>
        <w:tc>
          <w:tcPr>
            <w:tcW w:w="2600" w:type="dxa"/>
            <w:vAlign w:val="center"/>
          </w:tcPr>
          <w:p>
            <w:pPr>
              <w:pStyle w:val="TableText"/>
              <w:spacing w:after="0"/>
            </w:pPr>
            <w:r>
              <w:t>演示质量</w:t>
            </w:r>
          </w:p>
        </w:tc>
        <w:tc>
          <w:tcPr>
            <w:tcW w:w="6760" w:type="dxa"/>
            <w:vAlign w:val="center"/>
          </w:tcPr>
          <w:p>
            <w:pPr>
              <w:pStyle w:val="TableText"/>
              <w:spacing w:after="0"/>
            </w:pPr>
            <w:r>
              <w:t>可稳定启动，关键流程可演示</w:t>
            </w:r>
          </w:p>
        </w:tc>
      </w:tr>
      <w:tr>
        <w:tc>
          <w:tcPr>
            <w:tcW w:w="2600" w:type="dxa"/>
            <w:vAlign w:val="center"/>
          </w:tcPr>
          <w:p>
            <w:pPr>
              <w:pStyle w:val="TableText"/>
              <w:spacing w:after="0"/>
            </w:pPr>
            <w:r>
              <w:t>安全质量</w:t>
            </w:r>
          </w:p>
        </w:tc>
        <w:tc>
          <w:tcPr>
            <w:tcW w:w="6760" w:type="dxa"/>
            <w:vAlign w:val="center"/>
          </w:tcPr>
          <w:p>
            <w:pPr>
              <w:pStyle w:val="TableText"/>
              <w:spacing w:after="0"/>
            </w:pPr>
            <w:r>
              <w:t>用户隔离和访问控制明确</w:t>
            </w:r>
          </w:p>
        </w:tc>
      </w:tr>
    </w:tbl>
    <w:p>
      <w:pPr>
        <w:pStyle w:val="BodyText"/>
        <w:spacing w:after="80"/>
      </w:pPr>
    </w:p>
    <w:p>
      <w:pPr>
        <w:pStyle w:val="BodyText"/>
      </w:pPr>
      <w:r>
        <w:t>质量目标还应结合课程项目特点进行解释。由于本项目不是正式商业系统，质量管理不追求复杂指标堆叠，而是优先保证最终提交可信、可运行、可解释。对课程评分和答辩来说，文档与实现一致、演示路径稳定、关键风险有说明，往往比单个扩展功能更重要。</w:t>
      </w:r>
    </w:p>
    <w:p>
      <w:pPr>
        <w:pStyle w:val="BodyText"/>
      </w:pPr>
      <w:r>
        <w:t>质量目标还需要映射到真实功能。账号与安全模块的质量重点是登录、会话 Cookie、受保护路由和用户数据隔离；Workspace 的质量重点是课程创建、切换、复制、删除和标签页导航；Workbench 的质量重点是资源绑定、多面板布局、状态保存和再次打开恢复；资料库的质量重点是上传、网页导入、文本粘贴、预览、删除和索引；AI Terminal 的质量重点是上下文选择、流式输出、历史会话和审批；AI Studio 的质量重点是生成物可保存、可打开、可用于学习复盘。</w:t>
      </w:r>
    </w:p>
    <w:p>
      <w:pPr>
        <w:pStyle w:val="Heading2"/>
        <w:keepNext/>
      </w:pPr>
      <w:r>
        <w:t>三、参考标准和规范</w:t>
      </w:r>
    </w:p>
    <w:p>
      <w:pPr>
        <w:pStyle w:val="BodyText"/>
        <w:numPr>
          <w:ilvl w:val="0"/>
          <w:numId w:val="1"/>
        </w:numPr>
      </w:pPr>
      <w:r>
        <w:t>软件项目管理课程报告内容依据。</w:t>
      </w:r>
    </w:p>
    <w:p>
      <w:pPr>
        <w:pStyle w:val="BodyText"/>
        <w:numPr>
          <w:ilvl w:val="0"/>
          <w:numId w:val="1"/>
        </w:numPr>
      </w:pPr>
      <w:r>
        <w:t>当前项目的系统功能说明和需求分析。</w:t>
      </w:r>
    </w:p>
    <w:p>
      <w:pPr>
        <w:pStyle w:val="BodyText"/>
        <w:numPr>
          <w:ilvl w:val="0"/>
          <w:numId w:val="1"/>
        </w:numPr>
      </w:pPr>
      <w:r>
        <w:t>前后端代码命名、目录和接口约定。</w:t>
      </w:r>
    </w:p>
    <w:p>
      <w:pPr>
        <w:pStyle w:val="BodyText"/>
        <w:numPr>
          <w:ilvl w:val="0"/>
          <w:numId w:val="1"/>
        </w:numPr>
      </w:pPr>
      <w:r>
        <w:t>数据库字段、表关系和数据归属规范。</w:t>
      </w:r>
    </w:p>
    <w:p>
      <w:pPr>
        <w:pStyle w:val="BodyText"/>
        <w:numPr>
          <w:ilvl w:val="0"/>
          <w:numId w:val="1"/>
        </w:numPr>
      </w:pPr>
      <w:r>
        <w:t>Codex 类 AI 辅助开发内容的复核规范。</w:t>
      </w:r>
    </w:p>
    <w:p>
      <w:pPr>
        <w:pStyle w:val="BodyText"/>
        <w:numPr>
          <w:ilvl w:val="0"/>
          <w:numId w:val="1"/>
        </w:numPr>
      </w:pPr>
      <w:r>
        <w:t>阿里云数据库和部署环境的配置检查规范。</w:t>
      </w:r>
    </w:p>
    <w:p>
      <w:pPr>
        <w:pStyle w:val="BodyText"/>
      </w:pPr>
      <w:r>
        <w:t>参考标准主要来自三类材料。第一类是课程要求，决定报告结构和管理文档之间的关系；第二类是项目自身文档，决定功能范围和术语；第三类是工程实践规范，决定代码、接口、数据库和部署是否可维护。所有质量检查都应回到这三类依据上，避免凭主观感觉判断质量。</w:t>
      </w:r>
    </w:p>
    <w:p>
      <w:pPr>
        <w:pStyle w:val="Heading2"/>
        <w:keepNext/>
      </w:pPr>
      <w:r>
        <w:t>四、组织保证机制</w:t>
      </w:r>
    </w:p>
    <w:p>
      <w:pPr>
        <w:pStyle w:val="BodyText"/>
        <w:numPr>
          <w:ilvl w:val="0"/>
          <w:numId w:val="1"/>
        </w:numPr>
      </w:pPr>
      <w:r>
        <w:t>项目负责人负责质量底线和版本冻结。</w:t>
      </w:r>
    </w:p>
    <w:p>
      <w:pPr>
        <w:pStyle w:val="BodyText"/>
        <w:numPr>
          <w:ilvl w:val="0"/>
          <w:numId w:val="1"/>
        </w:numPr>
      </w:pPr>
      <w:r>
        <w:t>开发人员对自己模块负责自测与修复。</w:t>
      </w:r>
    </w:p>
    <w:p>
      <w:pPr>
        <w:pStyle w:val="BodyText"/>
        <w:numPr>
          <w:ilvl w:val="0"/>
          <w:numId w:val="1"/>
        </w:numPr>
      </w:pPr>
      <w:r>
        <w:t>测试与文档人员负责检查一致性和遗漏项。</w:t>
      </w:r>
    </w:p>
    <w:p>
      <w:pPr>
        <w:pStyle w:val="BodyText"/>
        <w:numPr>
          <w:ilvl w:val="0"/>
          <w:numId w:val="1"/>
        </w:numPr>
      </w:pPr>
      <w:r>
        <w:t>所有修改必须同步到文档或变更说明。</w:t>
      </w:r>
    </w:p>
    <w:p>
      <w:pPr>
        <w:pStyle w:val="BodyText"/>
      </w:pPr>
      <w:r>
        <w:t>结合本项目 3 人团队实际，质量责任可进一步拆分为：全栈开发负责人对功能正确性、接口一致性和代码可维护性负责；运维测试负责人对环境稳定性、回归测试、演示数据和部署配置负责；需求与研究负责人对需求完整性、论文资料参考、课程报告口径和功能优先级负责。三类责任共同构成项目质量保障。</w:t>
      </w:r>
    </w:p>
    <w:p>
      <w:pPr>
        <w:pStyle w:val="Heading2"/>
        <w:keepNext/>
      </w:pPr>
      <w:r>
        <w:t>五、质量任务</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质量任务</w:t>
            </w:r>
          </w:p>
        </w:tc>
        <w:tc>
          <w:tcPr>
            <w:tcW w:w="6760" w:type="dxa"/>
            <w:shd w:fill="F2F4F7"/>
            <w:vAlign w:val="center"/>
          </w:tcPr>
          <w:p>
            <w:pPr>
              <w:pStyle w:val="TableText"/>
              <w:spacing w:after="0"/>
            </w:pPr>
            <w:r>
              <w:rPr>
                <w:b/>
              </w:rPr>
              <w:t>具体内容</w:t>
            </w:r>
          </w:p>
        </w:tc>
      </w:tr>
      <w:tr>
        <w:tc>
          <w:tcPr>
            <w:tcW w:w="2600" w:type="dxa"/>
            <w:vAlign w:val="center"/>
          </w:tcPr>
          <w:p>
            <w:pPr>
              <w:pStyle w:val="TableText"/>
              <w:spacing w:after="0"/>
            </w:pPr>
            <w:r>
              <w:t>流程说明</w:t>
            </w:r>
          </w:p>
        </w:tc>
        <w:tc>
          <w:tcPr>
            <w:tcW w:w="6760" w:type="dxa"/>
            <w:vAlign w:val="center"/>
          </w:tcPr>
          <w:p>
            <w:pPr>
              <w:pStyle w:val="TableText"/>
              <w:spacing w:after="0"/>
            </w:pPr>
            <w:r>
              <w:t>明确从需求、设计、开发、测试到收尾的工作流</w:t>
            </w:r>
          </w:p>
        </w:tc>
      </w:tr>
      <w:tr>
        <w:tc>
          <w:tcPr>
            <w:tcW w:w="2600" w:type="dxa"/>
            <w:vAlign w:val="center"/>
          </w:tcPr>
          <w:p>
            <w:pPr>
              <w:pStyle w:val="TableText"/>
              <w:spacing w:after="0"/>
            </w:pPr>
            <w:r>
              <w:t>流程实施指导</w:t>
            </w:r>
          </w:p>
        </w:tc>
        <w:tc>
          <w:tcPr>
            <w:tcW w:w="6760" w:type="dxa"/>
            <w:vAlign w:val="center"/>
          </w:tcPr>
          <w:p>
            <w:pPr>
              <w:pStyle w:val="TableText"/>
              <w:spacing w:after="0"/>
            </w:pPr>
            <w:r>
              <w:t>对接口、数据模型、文档命名和提交材料进行约束</w:t>
            </w:r>
          </w:p>
        </w:tc>
      </w:tr>
      <w:tr>
        <w:tc>
          <w:tcPr>
            <w:tcW w:w="2600" w:type="dxa"/>
            <w:vAlign w:val="center"/>
          </w:tcPr>
          <w:p>
            <w:pPr>
              <w:pStyle w:val="TableText"/>
              <w:spacing w:after="0"/>
            </w:pPr>
            <w:r>
              <w:t>关键成果评审</w:t>
            </w:r>
          </w:p>
        </w:tc>
        <w:tc>
          <w:tcPr>
            <w:tcW w:w="6760" w:type="dxa"/>
            <w:vAlign w:val="center"/>
          </w:tcPr>
          <w:p>
            <w:pPr>
              <w:pStyle w:val="TableText"/>
              <w:spacing w:after="0"/>
            </w:pPr>
            <w:r>
              <w:t>评审需求、设计、测试计划、报告和演示稿</w:t>
            </w:r>
          </w:p>
        </w:tc>
      </w:tr>
      <w:tr>
        <w:tc>
          <w:tcPr>
            <w:tcW w:w="2600" w:type="dxa"/>
            <w:vAlign w:val="center"/>
          </w:tcPr>
          <w:p>
            <w:pPr>
              <w:pStyle w:val="TableText"/>
              <w:spacing w:after="0"/>
            </w:pPr>
            <w:r>
              <w:t>缺陷跟踪</w:t>
            </w:r>
          </w:p>
        </w:tc>
        <w:tc>
          <w:tcPr>
            <w:tcW w:w="6760" w:type="dxa"/>
            <w:vAlign w:val="center"/>
          </w:tcPr>
          <w:p>
            <w:pPr>
              <w:pStyle w:val="TableText"/>
              <w:spacing w:after="0"/>
            </w:pPr>
            <w:r>
              <w:t>建立问题记录，明确严重级别、责任人和关闭状态</w:t>
            </w:r>
          </w:p>
        </w:tc>
      </w:tr>
      <w:tr>
        <w:tc>
          <w:tcPr>
            <w:tcW w:w="2600" w:type="dxa"/>
            <w:vAlign w:val="center"/>
          </w:tcPr>
          <w:p>
            <w:pPr>
              <w:pStyle w:val="TableText"/>
              <w:spacing w:after="0"/>
            </w:pPr>
            <w:r>
              <w:t>过程改进</w:t>
            </w:r>
          </w:p>
        </w:tc>
        <w:tc>
          <w:tcPr>
            <w:tcW w:w="6760" w:type="dxa"/>
            <w:vAlign w:val="center"/>
          </w:tcPr>
          <w:p>
            <w:pPr>
              <w:pStyle w:val="TableText"/>
              <w:spacing w:after="0"/>
            </w:pPr>
            <w:r>
              <w:t>根据缺陷和延期原因调整计划</w:t>
            </w:r>
          </w:p>
        </w:tc>
      </w:tr>
    </w:tbl>
    <w:p>
      <w:pPr>
        <w:pStyle w:val="BodyText"/>
        <w:spacing w:after="80"/>
      </w:pPr>
    </w:p>
    <w:p>
      <w:pPr>
        <w:pStyle w:val="BodyText"/>
      </w:pPr>
      <w:r>
        <w:t>质量任务应贯穿项目全生命周期。需求阶段重点防止范围不清，设计阶段重点防止数据关系混乱，开发阶段重点防止接口和页面脱节，测试阶段重点防止主流程中断，收尾阶段重点防止文档不一致和演示材料遗漏。每一类质量任务都应有明确产物，例如评审记录、测试清单、缺陷列表或报告修改记录。</w:t>
      </w:r>
    </w:p>
    <w:p>
      <w:pPr>
        <w:pStyle w:val="Heading2"/>
        <w:keepNext/>
      </w:pPr>
      <w:r>
        <w:t>六、质量控制策略</w:t>
      </w:r>
    </w:p>
    <w:p>
      <w:pPr>
        <w:pStyle w:val="BodyText"/>
        <w:numPr>
          <w:ilvl w:val="0"/>
          <w:numId w:val="2"/>
        </w:numPr>
      </w:pPr>
      <w:r>
        <w:t>需求评审：确认是否符合课程要求和项目范围。</w:t>
      </w:r>
    </w:p>
    <w:p>
      <w:pPr>
        <w:pStyle w:val="BodyText"/>
        <w:numPr>
          <w:ilvl w:val="0"/>
          <w:numId w:val="2"/>
        </w:numPr>
      </w:pPr>
      <w:r>
        <w:t>设计评审：检查数据模型、模块边界和接口。</w:t>
      </w:r>
    </w:p>
    <w:p>
      <w:pPr>
        <w:pStyle w:val="BodyText"/>
        <w:numPr>
          <w:ilvl w:val="0"/>
          <w:numId w:val="2"/>
        </w:numPr>
      </w:pPr>
      <w:r>
        <w:t>代码评审：检查命名、重复逻辑、异常处理和权限。</w:t>
      </w:r>
    </w:p>
    <w:p>
      <w:pPr>
        <w:pStyle w:val="BodyText"/>
        <w:numPr>
          <w:ilvl w:val="0"/>
          <w:numId w:val="2"/>
        </w:numPr>
      </w:pPr>
      <w:r>
        <w:t>测试评审：检查主流程、异常流和回归情况。</w:t>
      </w:r>
    </w:p>
    <w:p>
      <w:pPr>
        <w:pStyle w:val="BodyText"/>
        <w:numPr>
          <w:ilvl w:val="0"/>
          <w:numId w:val="2"/>
        </w:numPr>
      </w:pPr>
      <w:r>
        <w:t>文档评审：检查内容、序号、命名和术语一致性。</w:t>
      </w:r>
    </w:p>
    <w:p>
      <w:pPr>
        <w:pStyle w:val="BodyText"/>
      </w:pPr>
      <w:r>
        <w:t>除上述策略外，还需要对 AI 辅助生成内容进行专门控制。Codex 类工具生成的代码应至少经过语义检查、运行验证和必要的人工修改；生成或扩写的文档应核对项目事实、团队人数、成本数字和时间节点，不能直接把提示性文字保留在最终报告中。对于数据库和部署相关修改，还应检查本地环境与阿里云数据库环境是否一致。</w:t>
      </w:r>
    </w:p>
    <w:p>
      <w:pPr>
        <w:pStyle w:val="BodyText"/>
      </w:pPr>
      <w:r>
        <w:t>质量控制应采用场景化测试。建议以“数据库课程复习”为样例，完整测试：创建 Workspace、上传 SQL 资料、创建 JOIN 复习 Workbench、在资料面板查看文件、在笔记面板记录总结、使用 AI 助手解释选中文本、通过 AI Terminal 生成复习计划、查看知识图谱概念、生成闪卡或测验并保存。这个场景覆盖大多数核心模块，比孤立点击页面更能反映系统质量。</w:t>
      </w:r>
    </w:p>
    <w:p>
      <w:pPr>
        <w:pStyle w:val="Heading2"/>
        <w:keepNext/>
      </w:pPr>
      <w:r>
        <w:t>七、质量属性优先级</w:t>
      </w:r>
    </w:p>
    <w:p>
      <w:pPr>
        <w:pStyle w:val="BodyText"/>
      </w:pPr>
      <w:r>
        <w:t>优先级从高到低建议为：</w:t>
      </w:r>
    </w:p>
    <w:p>
      <w:pPr>
        <w:pStyle w:val="BodyText"/>
        <w:numPr>
          <w:ilvl w:val="0"/>
          <w:numId w:val="2"/>
        </w:numPr>
      </w:pPr>
      <w:r>
        <w:t>正确性</w:t>
      </w:r>
    </w:p>
    <w:p>
      <w:pPr>
        <w:pStyle w:val="BodyText"/>
        <w:numPr>
          <w:ilvl w:val="0"/>
          <w:numId w:val="2"/>
        </w:numPr>
      </w:pPr>
      <w:r>
        <w:t>稳定性</w:t>
      </w:r>
    </w:p>
    <w:p>
      <w:pPr>
        <w:pStyle w:val="BodyText"/>
        <w:numPr>
          <w:ilvl w:val="0"/>
          <w:numId w:val="2"/>
        </w:numPr>
      </w:pPr>
      <w:r>
        <w:t>数据一致性</w:t>
      </w:r>
    </w:p>
    <w:p>
      <w:pPr>
        <w:pStyle w:val="BodyText"/>
        <w:numPr>
          <w:ilvl w:val="0"/>
          <w:numId w:val="2"/>
        </w:numPr>
      </w:pPr>
      <w:r>
        <w:t>可演示性</w:t>
      </w:r>
    </w:p>
    <w:p>
      <w:pPr>
        <w:pStyle w:val="BodyText"/>
        <w:numPr>
          <w:ilvl w:val="0"/>
          <w:numId w:val="2"/>
        </w:numPr>
      </w:pPr>
      <w:r>
        <w:t>性能</w:t>
      </w:r>
    </w:p>
    <w:p>
      <w:pPr>
        <w:pStyle w:val="BodyText"/>
        <w:numPr>
          <w:ilvl w:val="0"/>
          <w:numId w:val="2"/>
        </w:numPr>
      </w:pPr>
      <w:r>
        <w:t>扩展性</w:t>
      </w:r>
    </w:p>
    <w:p>
      <w:pPr>
        <w:pStyle w:val="BodyText"/>
      </w:pPr>
      <w:r>
        <w:t>优先级排序体现了课程项目的现实约束。正确性和稳定性排在最前，是因为系统首先要能按预期运行；数据一致性关系到资料、图谱和学习画像等模块是否可信；可演示性直接影响答辩效果；性能和扩展性也重要，但在课程原型阶段可以通过分页、懒加载、降级方案和后续规划逐步完善。</w:t>
      </w:r>
    </w:p>
    <w:p>
      <w:pPr>
        <w:pStyle w:val="Heading2"/>
        <w:keepNext/>
      </w:pPr>
      <w:r>
        <w:t>八、关键文档要求</w:t>
      </w:r>
    </w:p>
    <w:p>
      <w:pPr>
        <w:pStyle w:val="BodyText"/>
      </w:pPr>
      <w:r>
        <w:t>关键文档包括：</w:t>
      </w:r>
    </w:p>
    <w:p>
      <w:pPr>
        <w:pStyle w:val="BodyText"/>
        <w:numPr>
          <w:ilvl w:val="0"/>
          <w:numId w:val="1"/>
        </w:numPr>
      </w:pPr>
      <w:r>
        <w:t>程序员说明或开发说明。</w:t>
      </w:r>
    </w:p>
    <w:p>
      <w:pPr>
        <w:pStyle w:val="BodyText"/>
        <w:numPr>
          <w:ilvl w:val="0"/>
          <w:numId w:val="1"/>
        </w:numPr>
      </w:pPr>
      <w:r>
        <w:t>测试计划。</w:t>
      </w:r>
    </w:p>
    <w:p>
      <w:pPr>
        <w:pStyle w:val="BodyText"/>
        <w:numPr>
          <w:ilvl w:val="0"/>
          <w:numId w:val="1"/>
        </w:numPr>
      </w:pPr>
      <w:r>
        <w:t>配置管理计划。</w:t>
      </w:r>
    </w:p>
    <w:p>
      <w:pPr>
        <w:pStyle w:val="BodyText"/>
        <w:numPr>
          <w:ilvl w:val="0"/>
          <w:numId w:val="1"/>
        </w:numPr>
      </w:pPr>
      <w:r>
        <w:t>11 份课程报告。</w:t>
      </w:r>
    </w:p>
    <w:p>
      <w:pPr>
        <w:pStyle w:val="BodyText"/>
        <w:numPr>
          <w:ilvl w:val="0"/>
          <w:numId w:val="1"/>
        </w:numPr>
      </w:pPr>
      <w:r>
        <w:t>答辩 PPT 和演示脚本。</w:t>
      </w:r>
    </w:p>
    <w:p>
      <w:pPr>
        <w:pStyle w:val="BodyText"/>
      </w:pPr>
      <w:r>
        <w:t>这些文档必须使用同一项目名称、同一模块划分、同一时间线和同一成本/进度口径。</w:t>
      </w:r>
    </w:p>
    <w:p>
      <w:pPr>
        <w:pStyle w:val="BodyText"/>
      </w:pPr>
      <w:r>
        <w:t>文档质量要求不仅包括格式整齐，还包括内容之间相互支撑。例如，可行性分析中的组织可行性应与资源计划中的 3 人分工一致，成本计划中的现金支出应与项目建议书中的投资估算一致，风险计划中的外部服务风险应在风险管理报告中继续跟踪，质量计划中的检查标准应在质量管理报告中体现执行结果。</w:t>
      </w:r>
    </w:p>
    <w:p>
      <w:pPr>
        <w:pStyle w:val="BodyText"/>
      </w:pPr>
      <w:r>
        <w:t>对于本项目，文档还应尽量使用系统内真实概念，而不是泛称“模块一、模块二”。例如应明确写出 Workspace 是课程级容器、Workbench 是任务级学习现场、FileSystemObject 是资料统一模型、KnowledgeChunk 和 CourseKnowledgeConcept 支撑检索与图谱、LearningPlan 和 LearningEvent 支撑规划与画像、StudioArtifact 和 Flashcard 支撑资源生成与复习。这样报告才能体现项目业务设计。</w:t>
      </w:r>
    </w:p>
    <w:p>
      <w:pPr>
        <w:pStyle w:val="Heading2"/>
        <w:keepNext/>
      </w:pPr>
      <w:r>
        <w:t>九、潜在质量问题与措施</w:t>
      </w:r>
    </w:p>
    <w:p>
      <w:pPr>
        <w:pStyle w:val="BodyText"/>
        <w:numPr>
          <w:ilvl w:val="0"/>
          <w:numId w:val="1"/>
        </w:numPr>
      </w:pPr>
      <w:r>
        <w:t>功能遗漏：用需求清单逐项核对。</w:t>
      </w:r>
    </w:p>
    <w:p>
      <w:pPr>
        <w:pStyle w:val="BodyText"/>
        <w:numPr>
          <w:ilvl w:val="0"/>
          <w:numId w:val="1"/>
        </w:numPr>
      </w:pPr>
      <w:r>
        <w:t>页面错位：统一组件与布局规范。</w:t>
      </w:r>
    </w:p>
    <w:p>
      <w:pPr>
        <w:pStyle w:val="BodyText"/>
        <w:numPr>
          <w:ilvl w:val="0"/>
          <w:numId w:val="1"/>
        </w:numPr>
      </w:pPr>
      <w:r>
        <w:t>数据关系混乱：先修正模型，再做功能。</w:t>
      </w:r>
    </w:p>
    <w:p>
      <w:pPr>
        <w:pStyle w:val="BodyText"/>
        <w:numPr>
          <w:ilvl w:val="0"/>
          <w:numId w:val="1"/>
        </w:numPr>
      </w:pPr>
      <w:r>
        <w:t>文档口径分裂：统一项目术语和时间线。</w:t>
      </w:r>
    </w:p>
    <w:p>
      <w:pPr>
        <w:pStyle w:val="BodyText"/>
        <w:numPr>
          <w:ilvl w:val="0"/>
          <w:numId w:val="1"/>
        </w:numPr>
      </w:pPr>
      <w:r>
        <w:t>演示崩溃：准备降级版演示路径。</w:t>
      </w:r>
    </w:p>
    <w:p>
      <w:pPr>
        <w:pStyle w:val="BodyText"/>
        <w:numPr>
          <w:ilvl w:val="0"/>
          <w:numId w:val="1"/>
        </w:numPr>
      </w:pPr>
      <w:r>
        <w:t>AI 生成内容失真：人工复核事实和数据。</w:t>
      </w:r>
    </w:p>
    <w:p>
      <w:pPr>
        <w:pStyle w:val="BodyText"/>
        <w:numPr>
          <w:ilvl w:val="0"/>
          <w:numId w:val="1"/>
        </w:numPr>
      </w:pPr>
      <w:r>
        <w:t>云数据库配置错误：保留本地备用环境和连接检查表。</w:t>
      </w:r>
    </w:p>
    <w:p>
      <w:pPr>
        <w:pStyle w:val="BodyText"/>
        <w:numPr>
          <w:ilvl w:val="0"/>
          <w:numId w:val="1"/>
        </w:numPr>
      </w:pPr>
      <w:r>
        <w:t>团队资源不足：冻结低优先级增强项。</w:t>
      </w:r>
    </w:p>
    <w:p>
      <w:pPr>
        <w:pStyle w:val="BodyText"/>
      </w:pPr>
      <w:r>
        <w:t>对于潜在质量问题，处理时应区分严重级别。影响系统启动、登录、核心数据和课程提交格式的问题属于严重问题，必须优先修复；影响局部展示效果或增强功能体验的问题可以在不影响主流程的情况下延后；仅影响样式美观或扩展能力的问题可作为后续优化项记录。</w:t>
      </w:r>
    </w:p>
    <w:p>
      <w:pPr>
        <w:pStyle w:val="Heading2"/>
        <w:keepNext/>
      </w:pPr>
      <w:r>
        <w:t>十、评审和检查要求</w:t>
      </w:r>
    </w:p>
    <w:p>
      <w:pPr>
        <w:pStyle w:val="BodyText"/>
      </w:pPr>
      <w:r>
        <w:t>质量计划应覆盖：</w:t>
      </w:r>
    </w:p>
    <w:p>
      <w:pPr>
        <w:pStyle w:val="BodyText"/>
        <w:numPr>
          <w:ilvl w:val="0"/>
          <w:numId w:val="1"/>
        </w:numPr>
      </w:pPr>
      <w:r>
        <w:t>需求说明评审。</w:t>
      </w:r>
    </w:p>
    <w:p>
      <w:pPr>
        <w:pStyle w:val="BodyText"/>
        <w:numPr>
          <w:ilvl w:val="0"/>
          <w:numId w:val="1"/>
        </w:numPr>
      </w:pPr>
      <w:r>
        <w:t>设计文档评审。</w:t>
      </w:r>
    </w:p>
    <w:p>
      <w:pPr>
        <w:pStyle w:val="BodyText"/>
        <w:numPr>
          <w:ilvl w:val="0"/>
          <w:numId w:val="1"/>
        </w:numPr>
      </w:pPr>
      <w:r>
        <w:t>测试计划评审。</w:t>
      </w:r>
    </w:p>
    <w:p>
      <w:pPr>
        <w:pStyle w:val="BodyText"/>
        <w:numPr>
          <w:ilvl w:val="0"/>
          <w:numId w:val="1"/>
        </w:numPr>
      </w:pPr>
      <w:r>
        <w:t>功能性审核。</w:t>
      </w:r>
    </w:p>
    <w:p>
      <w:pPr>
        <w:pStyle w:val="BodyText"/>
        <w:numPr>
          <w:ilvl w:val="0"/>
          <w:numId w:val="1"/>
        </w:numPr>
      </w:pPr>
      <w:r>
        <w:t>物理性审核。</w:t>
      </w:r>
    </w:p>
    <w:p>
      <w:pPr>
        <w:pStyle w:val="BodyText"/>
        <w:numPr>
          <w:ilvl w:val="0"/>
          <w:numId w:val="1"/>
        </w:numPr>
      </w:pPr>
      <w:r>
        <w:t>管理评审。</w:t>
      </w:r>
    </w:p>
    <w:p>
      <w:pPr>
        <w:pStyle w:val="BodyText"/>
      </w:pPr>
      <w:r>
        <w:t>评审标准包括：是否符合需求、是否可运行、是否有明确责任人、是否与课程报告一致、是否影响最终提交。</w:t>
      </w:r>
    </w:p>
    <w:p>
      <w:pPr>
        <w:pStyle w:val="BodyText"/>
      </w:pPr>
      <w:r>
        <w:t>评审可以采用轻量方式进行，但必须有结果。每次评审后应明确通过、需修改或暂缓，并记录主要问题。对于课程报告，评审重点是标题编号是否完整、项目事实是否准确、表格数字是否前后一致、是否仍保留括号提示或草稿语气。</w:t>
      </w:r>
    </w:p>
    <w:p>
      <w:pPr>
        <w:pStyle w:val="Heading2"/>
        <w:keepNext/>
      </w:pPr>
      <w:r>
        <w:t>十一、配置管理与问题处理</w:t>
      </w:r>
    </w:p>
    <w:p>
      <w:pPr>
        <w:pStyle w:val="BodyText"/>
        <w:numPr>
          <w:ilvl w:val="0"/>
          <w:numId w:val="1"/>
        </w:numPr>
      </w:pPr>
      <w:r>
        <w:t>使用版本控制保存代码和文档。</w:t>
      </w:r>
    </w:p>
    <w:p>
      <w:pPr>
        <w:pStyle w:val="BodyText"/>
        <w:numPr>
          <w:ilvl w:val="0"/>
          <w:numId w:val="1"/>
        </w:numPr>
      </w:pPr>
      <w:r>
        <w:t>需求变更必须有记录。</w:t>
      </w:r>
    </w:p>
    <w:p>
      <w:pPr>
        <w:pStyle w:val="BodyText"/>
        <w:numPr>
          <w:ilvl w:val="0"/>
          <w:numId w:val="1"/>
        </w:numPr>
      </w:pPr>
      <w:r>
        <w:t>问题统一登记、分派、跟踪和关闭。</w:t>
      </w:r>
    </w:p>
    <w:p>
      <w:pPr>
        <w:pStyle w:val="BodyText"/>
        <w:numPr>
          <w:ilvl w:val="0"/>
          <w:numId w:val="1"/>
        </w:numPr>
      </w:pPr>
      <w:r>
        <w:t>关键产物如数据库结构、接口和报告必须有版本基线。</w:t>
      </w:r>
    </w:p>
    <w:p>
      <w:pPr>
        <w:pStyle w:val="BodyText"/>
      </w:pPr>
      <w:r>
        <w:t>配置管理范围应包括代码、数据库迁移、环境变量说明、部署配置、课程报告、演示截图和 PPT。特别是阿里云数据库连接信息和模型服务配置，不能散落在个人聊天或临时记录中，应以安全方式记录必要说明。对于文档变更，也要避免不同报告引用不同版本的项目范围。</w:t>
      </w:r>
    </w:p>
    <w:p>
      <w:pPr>
        <w:pStyle w:val="Heading2"/>
        <w:keepNext/>
      </w:pPr>
      <w:r>
        <w:t>十二、问题报告和处理系统</w:t>
      </w:r>
    </w:p>
    <w:p>
      <w:pPr>
        <w:pStyle w:val="BodyText"/>
      </w:pPr>
      <w:r>
        <w:t>问题记录建议包含：问题编号、发现时间、所属模块、严重级别、复现步骤、负责人、处理状态和关闭说明。严重问题优先处理影响系统启动、数据安全、核心流程和提交格式的问题。</w:t>
      </w:r>
    </w:p>
    <w:p>
      <w:pPr>
        <w:pStyle w:val="BodyText"/>
      </w:pPr>
      <w:r>
        <w:t>问题处理流程建议为：发现问题后先记录复现条件，再判断严重级别和责任人；修复后由非修复人员尽量进行复查；如果问题影响报告内容，则同步修改相关报告；如果问题来自流程缺陷，例如需求遗漏或测试太晚，则在阶段复盘中记录改进措施。这样问题报告系统就不只是缺陷清单，而能推动过程改进。</w:t>
      </w:r>
    </w:p>
    <w:p>
      <w:pPr>
        <w:pStyle w:val="Heading2"/>
        <w:keepNext/>
      </w:pPr>
      <w:r>
        <w:t>十三、采用的工具、技术和方法</w:t>
      </w:r>
    </w:p>
    <w:p>
      <w:pPr>
        <w:pStyle w:val="BodyText"/>
        <w:numPr>
          <w:ilvl w:val="0"/>
          <w:numId w:val="1"/>
        </w:numPr>
      </w:pPr>
      <w:r>
        <w:t>代码检查：TypeScript 检查、静态审阅。</w:t>
      </w:r>
    </w:p>
    <w:p>
      <w:pPr>
        <w:pStyle w:val="BodyText"/>
        <w:numPr>
          <w:ilvl w:val="0"/>
          <w:numId w:val="1"/>
        </w:numPr>
      </w:pPr>
      <w:r>
        <w:t>接口检查：手工冒烟测试和接口联调。</w:t>
      </w:r>
    </w:p>
    <w:p>
      <w:pPr>
        <w:pStyle w:val="BodyText"/>
        <w:numPr>
          <w:ilvl w:val="0"/>
          <w:numId w:val="1"/>
        </w:numPr>
      </w:pPr>
      <w:r>
        <w:t>文档检查：目录、术语、序号和内容依据对照。</w:t>
      </w:r>
    </w:p>
    <w:p>
      <w:pPr>
        <w:pStyle w:val="BodyText"/>
        <w:numPr>
          <w:ilvl w:val="0"/>
          <w:numId w:val="1"/>
        </w:numPr>
      </w:pPr>
      <w:r>
        <w:t>演示检查：按答辩流程跑通关键页面。</w:t>
      </w:r>
    </w:p>
    <w:p>
      <w:pPr>
        <w:pStyle w:val="BodyText"/>
        <w:numPr>
          <w:ilvl w:val="0"/>
          <w:numId w:val="1"/>
        </w:numPr>
      </w:pPr>
      <w:r>
        <w:t>环境检查：本地环境、服务机、阿里云数据库连接和模型服务状态。</w:t>
      </w:r>
    </w:p>
    <w:p>
      <w:pPr>
        <w:pStyle w:val="BodyText"/>
        <w:numPr>
          <w:ilvl w:val="0"/>
          <w:numId w:val="1"/>
        </w:numPr>
      </w:pPr>
      <w:r>
        <w:t>AI 内容检查：对 Codex 辅助生成的代码和文档进行人工确认。</w:t>
      </w:r>
    </w:p>
    <w:p>
      <w:pPr>
        <w:pStyle w:val="BodyText"/>
      </w:pPr>
      <w:r>
        <w:t>工具和方法的选择应服务于项目规模。对于课程项目，不必引入过重的平台，但要保证检查动作真实发生。手工冒烟测试、清单式文档校对、阶段性截图留存和关键命令记录，都是成本较低但效果明确的质量管理方法。</w:t>
      </w:r>
    </w:p>
    <w:p>
      <w:pPr>
        <w:pStyle w:val="Heading2"/>
        <w:keepNext/>
      </w:pPr>
      <w:r>
        <w:t>十四、补充说明</w:t>
      </w:r>
    </w:p>
    <w:p>
      <w:pPr>
        <w:pStyle w:val="BodyText"/>
      </w:pPr>
      <w:r>
        <w:t>质量计划的重点不是写得最漂亮，而是能把“怎么保证质量”写清楚。对于本项目，质量首先体现在课程报告与实际项目保持一致，其次才是界面、性能和扩展能力。</w:t>
      </w:r>
    </w:p>
    <w:p>
      <w:pPr>
        <w:pStyle w:val="BodyText"/>
      </w:pPr>
      <w:r>
        <w:t>本项目质量计划还要体现智能开发工具带来的新要求。Codex 类工具可以提高效率，但不能替代团队对需求、代码和文档的判断。最终交付物必须由团队成员确认，确保系统能够运行、报告能够解释、答辩能够回答。只有把工具效率和人工质量控制结合起来，项目质量才是可靠的。</w:t>
      </w:r>
    </w:p>
    <w:p>
      <w:pPr>
        <w:pStyle w:val="Heading1"/>
        <w:pageBreakBefore/>
        <w:keepNext/>
      </w:pPr>
      <w:r>
        <w:t>08 项目估算报告</w:t>
      </w:r>
    </w:p>
    <w:p>
      <w:pPr>
        <w:pStyle w:val="Heading2"/>
        <w:keepNext/>
      </w:pPr>
      <w:r>
        <w:t>一、估算范围</w:t>
      </w:r>
    </w:p>
    <w:p>
      <w:pPr>
        <w:pStyle w:val="BodyText"/>
      </w:pPr>
      <w:r>
        <w:t>本次估算针对软件杯项目中与课程报告直接相关的工作，覆盖规模、工作量、进度、风险和其他辅助估算。</w:t>
      </w:r>
    </w:p>
    <w:p>
      <w:pPr>
        <w:pStyle w:val="BodyText"/>
      </w:pPr>
      <w:r>
        <w:t>估算范围包括前端页面、后端服务、数据库模型、智能能力接入、部署环境、测试回归、课程报告和答辩材料。不包括正式商业化运营、长期用户增长、企业级安全合规和大规模性能压测。这样划定范围可以避免把课程原型项目估算成完整商业产品，也能让估算结果更贴近当前团队能力。</w:t>
      </w:r>
    </w:p>
    <w:p>
      <w:pPr>
        <w:pStyle w:val="BodyText"/>
      </w:pPr>
      <w:r>
        <w:t>本项目采用 3 人团队推进，并借助 Codex 类 AI 辅助开发工具提高开发与文档效率。因此，估算时既要考虑传统软件开发工作量，也要考虑 AI 辅助带来的效率提升和复核成本。AI 可以减少部分编码和文字整理时间，但不会消除需求分析、测试、联调和演示准备工作。</w:t>
      </w:r>
    </w:p>
    <w:p>
      <w:pPr>
        <w:pStyle w:val="Heading2"/>
        <w:keepNext/>
      </w:pPr>
      <w:r>
        <w:t>二、规模估算</w:t>
      </w:r>
    </w:p>
    <w:p>
      <w:pPr>
        <w:pStyle w:val="BodyText"/>
      </w:pPr>
      <w:r>
        <w:t>项目可按功能规模拆分为 8 个核心模块：</w:t>
      </w:r>
    </w:p>
    <w:p>
      <w:pPr>
        <w:pStyle w:val="BodyText"/>
        <w:numPr>
          <w:ilvl w:val="0"/>
          <w:numId w:val="2"/>
        </w:numPr>
      </w:pPr>
      <w:r>
        <w:t>账号与权限</w:t>
      </w:r>
    </w:p>
    <w:p>
      <w:pPr>
        <w:pStyle w:val="BodyText"/>
        <w:numPr>
          <w:ilvl w:val="0"/>
          <w:numId w:val="2"/>
        </w:numPr>
      </w:pPr>
      <w:r>
        <w:t>Workspace 课程空间</w:t>
      </w:r>
    </w:p>
    <w:p>
      <w:pPr>
        <w:pStyle w:val="BodyText"/>
        <w:numPr>
          <w:ilvl w:val="0"/>
          <w:numId w:val="2"/>
        </w:numPr>
      </w:pPr>
      <w:r>
        <w:t>Workbench 学习现场</w:t>
      </w:r>
    </w:p>
    <w:p>
      <w:pPr>
        <w:pStyle w:val="BodyText"/>
        <w:numPr>
          <w:ilvl w:val="0"/>
          <w:numId w:val="2"/>
        </w:numPr>
      </w:pPr>
      <w:r>
        <w:t>资料库与文件系统</w:t>
      </w:r>
    </w:p>
    <w:p>
      <w:pPr>
        <w:pStyle w:val="BodyText"/>
        <w:numPr>
          <w:ilvl w:val="0"/>
          <w:numId w:val="2"/>
        </w:numPr>
      </w:pPr>
      <w:r>
        <w:t>知识图谱与检索</w:t>
      </w:r>
    </w:p>
    <w:p>
      <w:pPr>
        <w:pStyle w:val="BodyText"/>
        <w:numPr>
          <w:ilvl w:val="0"/>
          <w:numId w:val="2"/>
        </w:numPr>
      </w:pPr>
      <w:r>
        <w:t>学习规划与画像</w:t>
      </w:r>
    </w:p>
    <w:p>
      <w:pPr>
        <w:pStyle w:val="BodyText"/>
        <w:numPr>
          <w:ilvl w:val="0"/>
          <w:numId w:val="2"/>
        </w:numPr>
      </w:pPr>
      <w:r>
        <w:t>AI Terminal 与多智能体</w:t>
      </w:r>
    </w:p>
    <w:p>
      <w:pPr>
        <w:pStyle w:val="BodyText"/>
        <w:numPr>
          <w:ilvl w:val="0"/>
          <w:numId w:val="2"/>
        </w:numPr>
      </w:pPr>
      <w:r>
        <w:t>AI Studio、多模态和演示支持</w:t>
      </w:r>
    </w:p>
    <w:p>
      <w:pPr>
        <w:pStyle w:val="BodyText"/>
      </w:pPr>
      <w:r>
        <w:t>从课程项目角度看，整体规模属于“中等偏大”的单体应用原型。</w:t>
      </w:r>
    </w:p>
    <w:p>
      <w:pPr>
        <w:pStyle w:val="BodyText"/>
      </w:pPr>
      <w:r>
        <w:t>从功能点数量看，项目不仅有普通管理系统中的账号、资源和工作区，还包含面向学习场景的智能分析能力，因此规模大于一般课程增删改查项目。从部署和运维角度看，项目需要处理本地开发环境、阿里云数据库和外部模型服务，复杂度也高于纯前端或纯后端项目。不过，由于当前目标是原型验证和课程展示，系统不需要达到企业级高并发和高可用标准，规模仍可控制在课程项目范围内。</w:t>
      </w:r>
    </w:p>
    <w:p>
      <w:pPr>
        <w:pStyle w:val="BodyText"/>
      </w:pPr>
      <w:r>
        <w:t>规模估算还应考虑业务对象数量。系统核心对象包括 User、Workspace、Workbench、FileSystemObject、WorkbenchResource、ConversationSession、LearningGoal、LearningPlan、LearningEvent、KnowledgeChunk、CourseKnowledgeConcept、SavedMemory、StudioArtifact、FlashcardDeck 和 FlashcardReview 等。对象之间存在明显依赖关系，因此工作量不只是页面数量，还包括数据归属、状态恢复、检索索引、生成物保存和跨模块联动。</w:t>
      </w:r>
    </w:p>
    <w:p>
      <w:pPr>
        <w:pStyle w:val="Heading2"/>
        <w:keepNext/>
      </w:pPr>
      <w:r>
        <w:t>三、工作量估算</w:t>
      </w:r>
    </w:p>
    <w:p>
      <w:pPr>
        <w:pStyle w:val="Heading3"/>
        <w:keepNext/>
      </w:pPr>
      <w:r>
        <w:t>1. 按模块估算</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模块</w:t>
            </w:r>
          </w:p>
        </w:tc>
        <w:tc>
          <w:tcPr>
            <w:tcW w:w="6760" w:type="dxa"/>
            <w:shd w:fill="F2F4F7"/>
            <w:vAlign w:val="center"/>
          </w:tcPr>
          <w:p>
            <w:pPr>
              <w:pStyle w:val="TableText"/>
              <w:spacing w:after="0"/>
            </w:pPr>
            <w:r>
              <w:rPr>
                <w:b/>
              </w:rPr>
              <w:t>估算工时</w:t>
            </w:r>
          </w:p>
        </w:tc>
      </w:tr>
      <w:tr>
        <w:tc>
          <w:tcPr>
            <w:tcW w:w="2600" w:type="dxa"/>
            <w:vAlign w:val="center"/>
          </w:tcPr>
          <w:p>
            <w:pPr>
              <w:pStyle w:val="TableText"/>
              <w:spacing w:after="0"/>
            </w:pPr>
            <w:r>
              <w:t>账号与权限</w:t>
            </w:r>
          </w:p>
        </w:tc>
        <w:tc>
          <w:tcPr>
            <w:tcW w:w="6760" w:type="dxa"/>
            <w:vAlign w:val="center"/>
          </w:tcPr>
          <w:p>
            <w:pPr>
              <w:pStyle w:val="TableText"/>
              <w:spacing w:after="0"/>
            </w:pPr>
            <w:r>
              <w:t>35</w:t>
            </w:r>
          </w:p>
        </w:tc>
      </w:tr>
      <w:tr>
        <w:tc>
          <w:tcPr>
            <w:tcW w:w="2600" w:type="dxa"/>
            <w:vAlign w:val="center"/>
          </w:tcPr>
          <w:p>
            <w:pPr>
              <w:pStyle w:val="TableText"/>
              <w:spacing w:after="0"/>
            </w:pPr>
            <w:r>
              <w:t>Workspace</w:t>
            </w:r>
          </w:p>
        </w:tc>
        <w:tc>
          <w:tcPr>
            <w:tcW w:w="6760" w:type="dxa"/>
            <w:vAlign w:val="center"/>
          </w:tcPr>
          <w:p>
            <w:pPr>
              <w:pStyle w:val="TableText"/>
              <w:spacing w:after="0"/>
            </w:pPr>
            <w:r>
              <w:t>60</w:t>
            </w:r>
          </w:p>
        </w:tc>
      </w:tr>
      <w:tr>
        <w:tc>
          <w:tcPr>
            <w:tcW w:w="2600" w:type="dxa"/>
            <w:vAlign w:val="center"/>
          </w:tcPr>
          <w:p>
            <w:pPr>
              <w:pStyle w:val="TableText"/>
              <w:spacing w:after="0"/>
            </w:pPr>
            <w:r>
              <w:t>Workbench</w:t>
            </w:r>
          </w:p>
        </w:tc>
        <w:tc>
          <w:tcPr>
            <w:tcW w:w="6760" w:type="dxa"/>
            <w:vAlign w:val="center"/>
          </w:tcPr>
          <w:p>
            <w:pPr>
              <w:pStyle w:val="TableText"/>
              <w:spacing w:after="0"/>
            </w:pPr>
            <w:r>
              <w:t>70</w:t>
            </w:r>
          </w:p>
        </w:tc>
      </w:tr>
      <w:tr>
        <w:tc>
          <w:tcPr>
            <w:tcW w:w="2600" w:type="dxa"/>
            <w:vAlign w:val="center"/>
          </w:tcPr>
          <w:p>
            <w:pPr>
              <w:pStyle w:val="TableText"/>
              <w:spacing w:after="0"/>
            </w:pPr>
            <w:r>
              <w:t>资料库与文件系统</w:t>
            </w:r>
          </w:p>
        </w:tc>
        <w:tc>
          <w:tcPr>
            <w:tcW w:w="6760" w:type="dxa"/>
            <w:vAlign w:val="center"/>
          </w:tcPr>
          <w:p>
            <w:pPr>
              <w:pStyle w:val="TableText"/>
              <w:spacing w:after="0"/>
            </w:pPr>
            <w:r>
              <w:t>80</w:t>
            </w:r>
          </w:p>
        </w:tc>
      </w:tr>
      <w:tr>
        <w:tc>
          <w:tcPr>
            <w:tcW w:w="2600" w:type="dxa"/>
            <w:vAlign w:val="center"/>
          </w:tcPr>
          <w:p>
            <w:pPr>
              <w:pStyle w:val="TableText"/>
              <w:spacing w:after="0"/>
            </w:pPr>
            <w:r>
              <w:t>知识图谱与检索</w:t>
            </w:r>
          </w:p>
        </w:tc>
        <w:tc>
          <w:tcPr>
            <w:tcW w:w="6760" w:type="dxa"/>
            <w:vAlign w:val="center"/>
          </w:tcPr>
          <w:p>
            <w:pPr>
              <w:pStyle w:val="TableText"/>
              <w:spacing w:after="0"/>
            </w:pPr>
            <w:r>
              <w:t>65</w:t>
            </w:r>
          </w:p>
        </w:tc>
      </w:tr>
      <w:tr>
        <w:tc>
          <w:tcPr>
            <w:tcW w:w="2600" w:type="dxa"/>
            <w:vAlign w:val="center"/>
          </w:tcPr>
          <w:p>
            <w:pPr>
              <w:pStyle w:val="TableText"/>
              <w:spacing w:after="0"/>
            </w:pPr>
            <w:r>
              <w:t>学习规划与画像</w:t>
            </w:r>
          </w:p>
        </w:tc>
        <w:tc>
          <w:tcPr>
            <w:tcW w:w="6760" w:type="dxa"/>
            <w:vAlign w:val="center"/>
          </w:tcPr>
          <w:p>
            <w:pPr>
              <w:pStyle w:val="TableText"/>
              <w:spacing w:after="0"/>
            </w:pPr>
            <w:r>
              <w:t>70</w:t>
            </w:r>
          </w:p>
        </w:tc>
      </w:tr>
      <w:tr>
        <w:tc>
          <w:tcPr>
            <w:tcW w:w="2600" w:type="dxa"/>
            <w:vAlign w:val="center"/>
          </w:tcPr>
          <w:p>
            <w:pPr>
              <w:pStyle w:val="TableText"/>
              <w:spacing w:after="0"/>
            </w:pPr>
            <w:r>
              <w:t>AI Terminal 与多智能体</w:t>
            </w:r>
          </w:p>
        </w:tc>
        <w:tc>
          <w:tcPr>
            <w:tcW w:w="6760" w:type="dxa"/>
            <w:vAlign w:val="center"/>
          </w:tcPr>
          <w:p>
            <w:pPr>
              <w:pStyle w:val="TableText"/>
              <w:spacing w:after="0"/>
            </w:pPr>
            <w:r>
              <w:t>80</w:t>
            </w:r>
          </w:p>
        </w:tc>
      </w:tr>
      <w:tr>
        <w:tc>
          <w:tcPr>
            <w:tcW w:w="2600" w:type="dxa"/>
            <w:vAlign w:val="center"/>
          </w:tcPr>
          <w:p>
            <w:pPr>
              <w:pStyle w:val="TableText"/>
              <w:spacing w:after="0"/>
            </w:pPr>
            <w:r>
              <w:t>AI Studio / 多模态 / 演示</w:t>
            </w:r>
          </w:p>
        </w:tc>
        <w:tc>
          <w:tcPr>
            <w:tcW w:w="6760" w:type="dxa"/>
            <w:vAlign w:val="center"/>
          </w:tcPr>
          <w:p>
            <w:pPr>
              <w:pStyle w:val="TableText"/>
              <w:spacing w:after="0"/>
            </w:pPr>
            <w:r>
              <w:t>35</w:t>
            </w:r>
          </w:p>
        </w:tc>
      </w:tr>
      <w:tr>
        <w:tc>
          <w:tcPr>
            <w:tcW w:w="2600" w:type="dxa"/>
            <w:vAlign w:val="center"/>
          </w:tcPr>
          <w:p>
            <w:pPr>
              <w:pStyle w:val="TableText"/>
              <w:spacing w:after="0"/>
            </w:pPr>
            <w:r>
              <w:t>测试与文档</w:t>
            </w:r>
          </w:p>
        </w:tc>
        <w:tc>
          <w:tcPr>
            <w:tcW w:w="6760" w:type="dxa"/>
            <w:vAlign w:val="center"/>
          </w:tcPr>
          <w:p>
            <w:pPr>
              <w:pStyle w:val="TableText"/>
              <w:spacing w:after="0"/>
            </w:pPr>
            <w:r>
              <w:t>65</w:t>
            </w:r>
          </w:p>
        </w:tc>
      </w:tr>
      <w:tr>
        <w:tc>
          <w:tcPr>
            <w:tcW w:w="2600" w:type="dxa"/>
            <w:vAlign w:val="center"/>
          </w:tcPr>
          <w:p>
            <w:pPr>
              <w:pStyle w:val="TableText"/>
              <w:spacing w:after="0"/>
            </w:pPr>
            <w:r>
              <w:rPr>
                <w:b/>
              </w:rPr>
              <w:t>合计</w:t>
            </w:r>
          </w:p>
        </w:tc>
        <w:tc>
          <w:tcPr>
            <w:tcW w:w="6760" w:type="dxa"/>
            <w:vAlign w:val="center"/>
          </w:tcPr>
          <w:p>
            <w:pPr>
              <w:pStyle w:val="TableText"/>
              <w:spacing w:after="0"/>
            </w:pPr>
            <w:r>
              <w:rPr>
                <w:b/>
              </w:rPr>
              <w:t>560</w:t>
            </w:r>
          </w:p>
        </w:tc>
      </w:tr>
    </w:tbl>
    <w:p>
      <w:pPr>
        <w:pStyle w:val="BodyText"/>
        <w:spacing w:after="80"/>
      </w:pPr>
    </w:p>
    <w:p>
      <w:pPr>
        <w:pStyle w:val="BodyText"/>
      </w:pPr>
      <w:r>
        <w:t>模块估算中，资料库、AI Terminal 和多智能体工作量较高，是因为这些模块既涉及前端交互，也涉及后端数据和外部服务联调。账号与权限相对独立，工作量较低，但质量要求高。测试与文档单独估算，是因为本项目最终需要提交 11 份课程报告和答辩材料，不能把文档工作简单附加在开发任务之后。</w:t>
      </w:r>
    </w:p>
    <w:p>
      <w:pPr>
        <w:pStyle w:val="BodyText"/>
      </w:pPr>
      <w:r>
        <w:t>如果按业务链路估算，工作量可分为四条主线：课程空间线，包括 Workspace Shell、标签页、课程配置和数据边界；学习现场线，包括 Workbench CRUD、多面板、状态持久化、资源绑定和 AI 助手；知识资料线，包括文件系统、网页导入、文档抽取、知识切块、检索、图谱和规划；资源生成线，包括 AI Terminal、Agentic 操作审批、AI Studio、闪卡、测验和可视化讲解。四条线共同构成项目规模。</w:t>
      </w:r>
    </w:p>
    <w:p>
      <w:pPr>
        <w:pStyle w:val="Heading3"/>
        <w:keepNext/>
      </w:pPr>
      <w:r>
        <w:t>2. 按角色估算</w:t>
      </w:r>
    </w:p>
    <w:p>
      <w:pPr>
        <w:pStyle w:val="BodyText"/>
      </w:pPr>
      <w:r>
        <w:t>估算结果与资源计划中的人力分配基本一致，说明当前范围与团队能力匹配。</w:t>
      </w:r>
    </w:p>
    <w:p>
      <w:pPr>
        <w:pStyle w:val="BodyText"/>
      </w:pPr>
      <w:r>
        <w:t>按实际 3 人分工折算，工作量可理解为：全栈开发约 280 小时，负责主要工程实现和智能能力联调；运维测试与演示约 110 小时，负责环境、数据库、测试和演示材料；需求分析与研究指导约 100 小时，负责需求拆解、开源项目调研和论文方向支持；文档统筹约 70 小时，由团队共同承担。该分配反映了全栈开发任务重、后期测试文档集中、需求研究贯穿关键节点的特点。</w:t>
      </w:r>
    </w:p>
    <w:p>
      <w:pPr>
        <w:pStyle w:val="BodyText"/>
      </w:pPr>
      <w:r>
        <w:t>由于 Codex 类工具参与开发，部分重复性编码和文档初稿整理时间可以减少，但对应增加了提示设计、结果筛选、人工复核和运行验证时间。因此总工作量不能简单按 AI 生成速度大幅压缩。</w:t>
      </w:r>
    </w:p>
    <w:p>
      <w:pPr>
        <w:pStyle w:val="Heading2"/>
        <w:keepNext/>
      </w:pPr>
      <w:r>
        <w:t>四、进度估算</w:t>
      </w:r>
    </w:p>
    <w:p>
      <w:pPr>
        <w:pStyle w:val="BodyText"/>
        <w:numPr>
          <w:ilvl w:val="0"/>
          <w:numId w:val="1"/>
        </w:numPr>
      </w:pPr>
      <w:r>
        <w:t>基础架构与核心功能：约 6 周。</w:t>
      </w:r>
    </w:p>
    <w:p>
      <w:pPr>
        <w:pStyle w:val="BodyText"/>
        <w:numPr>
          <w:ilvl w:val="0"/>
          <w:numId w:val="1"/>
        </w:numPr>
      </w:pPr>
      <w:r>
        <w:t>智能能力与扩展模块：约 5 周。</w:t>
      </w:r>
    </w:p>
    <w:p>
      <w:pPr>
        <w:pStyle w:val="BodyText"/>
        <w:numPr>
          <w:ilvl w:val="0"/>
          <w:numId w:val="1"/>
        </w:numPr>
      </w:pPr>
      <w:r>
        <w:t>测试、文档和演示：约 2 周。</w:t>
      </w:r>
    </w:p>
    <w:p>
      <w:pPr>
        <w:pStyle w:val="BodyText"/>
      </w:pPr>
      <w:r>
        <w:t>总体工期约 13 周，符合课程与项目并行推进的节奏。</w:t>
      </w:r>
    </w:p>
    <w:p>
      <w:pPr>
        <w:pStyle w:val="BodyText"/>
      </w:pPr>
      <w:r>
        <w:t>进度估算以 2026-03-01 到 2026-06-17 为主窗口。其中前 2 周用于需求梳理和范围确认，中间约 8 到 9 周用于开发与联调，最后约 2 周用于测试、文档、截图和答辩材料。由于课程报告需要与实现同步，文档工作应贯穿全过程，而不是集中在最后阶段。</w:t>
      </w:r>
    </w:p>
    <w:p>
      <w:pPr>
        <w:pStyle w:val="BodyText"/>
      </w:pPr>
      <w:r>
        <w:t>进度缓冲主要安排在收尾前。若智能能力接入不稳定，应优先保证课程空间、学习现场、资料库和基础 AI 辅助流程可演示；若多模态、复杂 Agent 或高级图谱功能未完全稳定，可转为扩展项说明。</w:t>
      </w:r>
    </w:p>
    <w:p>
      <w:pPr>
        <w:pStyle w:val="Heading2"/>
        <w:keepNext/>
      </w:pPr>
      <w:r>
        <w:t>五、风险估算</w:t>
      </w:r>
    </w:p>
    <w:p>
      <w:pPr>
        <w:pStyle w:val="BodyText"/>
      </w:pPr>
      <w:r>
        <w:t>风险主要集中在：</w:t>
      </w:r>
    </w:p>
    <w:p>
      <w:pPr>
        <w:pStyle w:val="BodyText"/>
        <w:numPr>
          <w:ilvl w:val="0"/>
          <w:numId w:val="1"/>
        </w:numPr>
      </w:pPr>
      <w:r>
        <w:t>需求变更带来的返工。</w:t>
      </w:r>
    </w:p>
    <w:p>
      <w:pPr>
        <w:pStyle w:val="BodyText"/>
        <w:numPr>
          <w:ilvl w:val="0"/>
          <w:numId w:val="1"/>
        </w:numPr>
      </w:pPr>
      <w:r>
        <w:t>智能能力接入的不确定性。</w:t>
      </w:r>
    </w:p>
    <w:p>
      <w:pPr>
        <w:pStyle w:val="BodyText"/>
        <w:numPr>
          <w:ilvl w:val="0"/>
          <w:numId w:val="1"/>
        </w:numPr>
      </w:pPr>
      <w:r>
        <w:t>最后阶段文档和演示时间被压缩。</w:t>
      </w:r>
    </w:p>
    <w:p>
      <w:pPr>
        <w:pStyle w:val="BodyText"/>
      </w:pPr>
      <w:r>
        <w:t>从风险影响看，需求变更和时间压缩属于高概率高影响风险，必须通过范围冻结和里程碑检查控制；智能能力接入属于中概率高影响风险，需要缓存、静态演示和降级方案；阿里云数据库和部署环境属于中概率中高影响风险，需要提前配置和备份；Codex 生成内容错误属于中概率中影响风险，需要人工审查和测试验证。</w:t>
      </w:r>
    </w:p>
    <w:p>
      <w:pPr>
        <w:pStyle w:val="BodyText"/>
      </w:pPr>
      <w:r>
        <w:t>风险估算结果说明，项目不宜把所有高级功能都设为必须完成项。估算时应为智能服务异常、数据库配置调整、报告扩写和演示材料返工保留缓冲。</w:t>
      </w:r>
    </w:p>
    <w:p>
      <w:pPr>
        <w:pStyle w:val="Heading2"/>
        <w:keepNext/>
      </w:pPr>
      <w:r>
        <w:t>六、其他估算</w:t>
      </w:r>
    </w:p>
    <w:p>
      <w:pPr>
        <w:pStyle w:val="Heading3"/>
        <w:keepNext/>
      </w:pPr>
      <w:r>
        <w:t>1. 需求稳定性估算</w:t>
      </w:r>
    </w:p>
    <w:p>
      <w:pPr>
        <w:pStyle w:val="BodyText"/>
      </w:pPr>
      <w:r>
        <w:t>当前项目以课程作业为目标时，需求稳定性较高；若继续往产品化方向扩展，需求变动会明显增加。</w:t>
      </w:r>
    </w:p>
    <w:p>
      <w:pPr>
        <w:pStyle w:val="BodyText"/>
      </w:pPr>
      <w:r>
        <w:t>课程阶段的需求稳定性来自固定交付时间和明确报告要求。只要团队坚持围绕核心闭环推进，需求不会无限扩张。但软件杯赛题本身鼓励创新，容易引出更多智能功能设想，因此必须区分“课程必交功能”和“竞赛展示增强功能”。</w:t>
      </w:r>
    </w:p>
    <w:p>
      <w:pPr>
        <w:pStyle w:val="Heading3"/>
        <w:keepNext/>
      </w:pPr>
      <w:r>
        <w:t>2. 资源利用效率估算</w:t>
      </w:r>
    </w:p>
    <w:p>
      <w:pPr>
        <w:pStyle w:val="BodyText"/>
      </w:pPr>
      <w:r>
        <w:t>通过统一技术栈和统一数据模型，预计能减少重复开发和重复排版工作。</w:t>
      </w:r>
    </w:p>
    <w:p>
      <w:pPr>
        <w:pStyle w:val="BodyText"/>
      </w:pPr>
      <w:r>
        <w:t>Codex 类工具、已有设计文档和可复用组件会提高资源利用效率。尤其在文档扩写、代码定位、接口草案和测试清单整理方面，AI 辅助能够节省时间。但资源效率提升的前提是团队有清晰任务描述和复核机制，否则生成内容可能造成新的返工。</w:t>
      </w:r>
    </w:p>
    <w:p>
      <w:pPr>
        <w:pStyle w:val="Heading3"/>
        <w:keepNext/>
      </w:pPr>
      <w:r>
        <w:t>3. 文档复审水平估算</w:t>
      </w:r>
    </w:p>
    <w:p>
      <w:pPr>
        <w:pStyle w:val="BodyText"/>
      </w:pPr>
      <w:r>
        <w:t>课程报告需要交叉校对，至少经历 2 轮到 3 轮复审才能保持一致。</w:t>
      </w:r>
    </w:p>
    <w:p>
      <w:pPr>
        <w:pStyle w:val="BodyText"/>
      </w:pPr>
      <w:r>
        <w:t>复审重点包括项目名称、团队人数、时间线、成本数字、数据库方案、模块划分、风险清单和质量目标。特别是成本计划中“课程估算成本”和“真实现金支出”两个口径，需要在相关报告中保持一致。</w:t>
      </w:r>
    </w:p>
    <w:p>
      <w:pPr>
        <w:pStyle w:val="Heading3"/>
        <w:keepNext/>
      </w:pPr>
      <w:r>
        <w:t>4. 问题解决能力估算</w:t>
      </w:r>
    </w:p>
    <w:p>
      <w:pPr>
        <w:pStyle w:val="BodyText"/>
      </w:pPr>
      <w:r>
        <w:t>当前项目已有相对完整的工程基础，剩余问题更多是集成、联调和文档一致性问题。</w:t>
      </w:r>
    </w:p>
    <w:p>
      <w:pPr>
        <w:pStyle w:val="BodyText"/>
      </w:pPr>
      <w:r>
        <w:t>团队解决问题的优势是人数少、沟通快、技术栈集中；劣势是关键开发任务集中，若全栈开发被阻塞，会影响多个模块。因此问题解决能力依赖任务优先级管理和降级策略。</w:t>
      </w:r>
    </w:p>
    <w:p>
      <w:pPr>
        <w:pStyle w:val="Heading3"/>
        <w:keepNext/>
      </w:pPr>
      <w:r>
        <w:t>5. 代码动态增长估算</w:t>
      </w:r>
    </w:p>
    <w:p>
      <w:pPr>
        <w:pStyle w:val="BodyText"/>
      </w:pPr>
      <w:r>
        <w:t>核心功能实现完成后，代码增长会更多集中在智能能力、资源分析和演示辅助层。</w:t>
      </w:r>
    </w:p>
    <w:p>
      <w:pPr>
        <w:pStyle w:val="BodyText"/>
      </w:pPr>
      <w:r>
        <w:t>后期代码增长不一定代表项目价值同步增长。如果新增代码主要服务于不稳定的增强功能，可能反而增加测试和演示风险。因此后期应控制代码增长，把更多精力用于稳定主流程、清理配置、完善测试和统一文档。</w:t>
      </w:r>
    </w:p>
    <w:p>
      <w:pPr>
        <w:pStyle w:val="Heading2"/>
        <w:keepNext/>
      </w:pPr>
      <w:r>
        <w:t>七、估算过程说明</w:t>
      </w:r>
    </w:p>
    <w:p>
      <w:pPr>
        <w:pStyle w:val="BodyText"/>
      </w:pPr>
      <w:r>
        <w:t>本次估算采用以下思路：</w:t>
      </w:r>
    </w:p>
    <w:p>
      <w:pPr>
        <w:pStyle w:val="BodyText"/>
        <w:numPr>
          <w:ilvl w:val="0"/>
          <w:numId w:val="2"/>
        </w:numPr>
      </w:pPr>
      <w:r>
        <w:t>先按模块拆分。</w:t>
      </w:r>
    </w:p>
    <w:p>
      <w:pPr>
        <w:pStyle w:val="BodyText"/>
        <w:numPr>
          <w:ilvl w:val="0"/>
          <w:numId w:val="2"/>
        </w:numPr>
      </w:pPr>
      <w:r>
        <w:t>再按角色分配工时。</w:t>
      </w:r>
    </w:p>
    <w:p>
      <w:pPr>
        <w:pStyle w:val="BodyText"/>
        <w:numPr>
          <w:ilvl w:val="0"/>
          <w:numId w:val="2"/>
        </w:numPr>
      </w:pPr>
      <w:r>
        <w:t>最后根据风险和缓冲调整总量。</w:t>
      </w:r>
    </w:p>
    <w:p>
      <w:pPr>
        <w:pStyle w:val="BodyText"/>
        <w:numPr>
          <w:ilvl w:val="0"/>
          <w:numId w:val="2"/>
        </w:numPr>
      </w:pPr>
      <w:r>
        <w:t>将课程估算成本与真实现金支出分开处理。</w:t>
      </w:r>
    </w:p>
    <w:p>
      <w:pPr>
        <w:pStyle w:val="BodyText"/>
        <w:numPr>
          <w:ilvl w:val="0"/>
          <w:numId w:val="2"/>
        </w:numPr>
      </w:pPr>
      <w:r>
        <w:t>将 AI 辅助开发带来的效率提升和复核成本同时纳入考虑。</w:t>
      </w:r>
    </w:p>
    <w:p>
      <w:pPr>
        <w:pStyle w:val="BodyText"/>
      </w:pPr>
      <w:r>
        <w:t>估算方法以类比估算和自下而上估算结合为主。先参考已有模块复杂度和课程项目经验，再按功能模块逐项估算，最后结合团队人数、外部依赖和提交节点进行修正。由于项目已经有一定实现基础，估算准确性高于纯概念阶段，但仍需要在执行过程中滚动调整。</w:t>
      </w:r>
    </w:p>
    <w:p>
      <w:pPr>
        <w:pStyle w:val="Heading2"/>
        <w:keepNext/>
      </w:pPr>
      <w:r>
        <w:t>八、发言要点记录和分析</w:t>
      </w:r>
    </w:p>
    <w:p>
      <w:pPr>
        <w:pStyle w:val="BodyText"/>
      </w:pPr>
      <w:r>
        <w:t>若按课程估算会议纪要的方式整理，讨论重点应包括：</w:t>
      </w:r>
    </w:p>
    <w:p>
      <w:pPr>
        <w:pStyle w:val="BodyText"/>
        <w:numPr>
          <w:ilvl w:val="0"/>
          <w:numId w:val="1"/>
        </w:numPr>
      </w:pPr>
      <w:r>
        <w:t>模块边界是否清楚。</w:t>
      </w:r>
    </w:p>
    <w:p>
      <w:pPr>
        <w:pStyle w:val="BodyText"/>
        <w:numPr>
          <w:ilvl w:val="0"/>
          <w:numId w:val="1"/>
        </w:numPr>
      </w:pPr>
      <w:r>
        <w:t>哪些功能是必须交付，哪些是展示增强。</w:t>
      </w:r>
    </w:p>
    <w:p>
      <w:pPr>
        <w:pStyle w:val="BodyText"/>
        <w:numPr>
          <w:ilvl w:val="0"/>
          <w:numId w:val="1"/>
        </w:numPr>
      </w:pPr>
      <w:r>
        <w:t>哪些模块最容易拖慢整体进度。</w:t>
      </w:r>
    </w:p>
    <w:p>
      <w:pPr>
        <w:pStyle w:val="BodyText"/>
        <w:numPr>
          <w:ilvl w:val="0"/>
          <w:numId w:val="1"/>
        </w:numPr>
      </w:pPr>
      <w:r>
        <w:t>文档与代码是否能共享同一套口径。</w:t>
      </w:r>
    </w:p>
    <w:p>
      <w:pPr>
        <w:pStyle w:val="BodyText"/>
        <w:numPr>
          <w:ilvl w:val="0"/>
          <w:numId w:val="1"/>
        </w:numPr>
      </w:pPr>
      <w:r>
        <w:t>3 人团队能否承担当前全部功能。</w:t>
      </w:r>
    </w:p>
    <w:p>
      <w:pPr>
        <w:pStyle w:val="BodyText"/>
        <w:numPr>
          <w:ilvl w:val="0"/>
          <w:numId w:val="1"/>
        </w:numPr>
      </w:pPr>
      <w:r>
        <w:t>Codex 辅助开发能节省哪些时间，又会带来哪些复核工作。</w:t>
      </w:r>
    </w:p>
    <w:p>
      <w:pPr>
        <w:pStyle w:val="BodyText"/>
        <w:numPr>
          <w:ilvl w:val="0"/>
          <w:numId w:val="1"/>
        </w:numPr>
      </w:pPr>
      <w:r>
        <w:t>阿里云数据库和部署环境是否会影响演示进度。</w:t>
      </w:r>
    </w:p>
    <w:p>
      <w:pPr>
        <w:pStyle w:val="BodyText"/>
      </w:pPr>
      <w:r>
        <w:t>分析结论是：本项目估算的关键不在绝对数字，而在于“先保证核心闭环，再为扩展能力留余量”。</w:t>
      </w:r>
    </w:p>
    <w:p>
      <w:pPr>
        <w:pStyle w:val="BodyText"/>
      </w:pPr>
      <w:r>
        <w:t>估算会议中应特别强调，功能完整性不等于功能越多越好。若某个功能无法在提交前完成测试、文档和演示准备，即使已经部分实现，也不应作为核心交付承诺。估算结果应服务于决策，帮助团队判断哪些任务必须完成，哪些任务可以降级。</w:t>
      </w:r>
    </w:p>
    <w:p>
      <w:pPr>
        <w:pStyle w:val="Heading2"/>
        <w:keepNext/>
      </w:pPr>
      <w:r>
        <w:t>九、经验和教训</w:t>
      </w:r>
    </w:p>
    <w:p>
      <w:pPr>
        <w:pStyle w:val="BodyText"/>
        <w:numPr>
          <w:ilvl w:val="0"/>
          <w:numId w:val="1"/>
        </w:numPr>
      </w:pPr>
      <w:r>
        <w:t>经验：先分层，再估算，准确率更高。</w:t>
      </w:r>
    </w:p>
    <w:p>
      <w:pPr>
        <w:pStyle w:val="BodyText"/>
        <w:numPr>
          <w:ilvl w:val="0"/>
          <w:numId w:val="1"/>
        </w:numPr>
      </w:pPr>
      <w:r>
        <w:t>经验：把文档、代码、演示一起纳入估算，后期更稳。</w:t>
      </w:r>
    </w:p>
    <w:p>
      <w:pPr>
        <w:pStyle w:val="BodyText"/>
        <w:numPr>
          <w:ilvl w:val="0"/>
          <w:numId w:val="1"/>
        </w:numPr>
      </w:pPr>
      <w:r>
        <w:t>教训：不要把所有增强功能都算成必做项。</w:t>
      </w:r>
    </w:p>
    <w:p>
      <w:pPr>
        <w:pStyle w:val="BodyText"/>
        <w:numPr>
          <w:ilvl w:val="0"/>
          <w:numId w:val="1"/>
        </w:numPr>
      </w:pPr>
      <w:r>
        <w:t>教训：估算必须与风险计划联动，否则容易低估收尾工作量。</w:t>
      </w:r>
    </w:p>
    <w:p>
      <w:pPr>
        <w:pStyle w:val="BodyText"/>
        <w:numPr>
          <w:ilvl w:val="0"/>
          <w:numId w:val="1"/>
        </w:numPr>
      </w:pPr>
      <w:r>
        <w:t>经验：把现金支出和课程折算成本分开，报告更清楚。</w:t>
      </w:r>
    </w:p>
    <w:p>
      <w:pPr>
        <w:pStyle w:val="BodyText"/>
        <w:numPr>
          <w:ilvl w:val="0"/>
          <w:numId w:val="1"/>
        </w:numPr>
      </w:pPr>
      <w:r>
        <w:t>经验：AI 辅助开发能提高效率，但估算中必须保留验证时间。</w:t>
      </w:r>
    </w:p>
    <w:p>
      <w:pPr>
        <w:pStyle w:val="BodyText"/>
        <w:numPr>
          <w:ilvl w:val="0"/>
          <w:numId w:val="1"/>
        </w:numPr>
      </w:pPr>
      <w:r>
        <w:t>教训：部署、数据库和演示材料的工作量容易被低估。</w:t>
      </w:r>
    </w:p>
    <w:p>
      <w:pPr>
        <w:pStyle w:val="BodyText"/>
      </w:pPr>
      <w:r>
        <w:t>总体来看，本项目估算结果说明当前范围可行，但需要严格控制后期新增功能。估算不是一次性文档，而应随着需求变化、风险变化和质量检查结果持续修正。</w:t>
      </w:r>
    </w:p>
    <w:p>
      <w:pPr>
        <w:pStyle w:val="BodyText"/>
      </w:pPr>
      <w:r>
        <w:t>后续若继续扩展，估算应优先评估新增功能是否复用现有链路。例如新增“教师端班级管理”会引入新的角色权限和组织模型，规模增加较大；新增一种 AI Studio 产物类型如果复用 StudioArtifact、文件系统和 Workbench 打开逻辑，规模增加相对较小；新增一个完全独立的可视化渲染链路则会增加较多测试和维护成本。</w:t>
      </w:r>
    </w:p>
    <w:p>
      <w:pPr>
        <w:pStyle w:val="Heading1"/>
        <w:pageBreakBefore/>
        <w:keepNext/>
      </w:pPr>
      <w:r>
        <w:t>09 质量管理报告</w:t>
      </w:r>
    </w:p>
    <w:p>
      <w:pPr>
        <w:pStyle w:val="Heading2"/>
        <w:keepNext/>
      </w:pPr>
      <w:r>
        <w:t>一、质量管理概述</w:t>
      </w:r>
    </w:p>
    <w:p>
      <w:pPr>
        <w:pStyle w:val="BodyText"/>
      </w:pPr>
      <w:r>
        <w:t>本报告记录项目在开发与整理过程中对质量的实际管理思路，重点包括质量计划落实、技术评审、测试、缺陷跟踪、过程检查和改进。</w:t>
      </w:r>
    </w:p>
    <w:p>
      <w:pPr>
        <w:pStyle w:val="BodyText"/>
      </w:pPr>
      <w:r>
        <w:t>质量管理与质量计划不同，质量计划强调“准备怎样保证质量”，质量管理则强调“实际怎样执行质量控制”。本项目在推进过程中，需要同时管理软件功能质量、数据质量、演示质量和文档质量。由于项目使用 Codex 类 AI 辅助开发工具，并涉及阿里云数据库和外部智能服务，质量管理还需要关注生成内容复核、部署环境检查和降级方案验证。</w:t>
      </w:r>
    </w:p>
    <w:p>
      <w:pPr>
        <w:pStyle w:val="BodyText"/>
      </w:pPr>
      <w:r>
        <w:t>本项目的质量管理目标可以概括为：核心流程可运行，关键数据不混乱，智能能力有说明和降级路径，课程报告与真实项目一致，最终演示能够稳定完成。</w:t>
      </w:r>
    </w:p>
    <w:p>
      <w:pPr>
        <w:pStyle w:val="Heading2"/>
        <w:keepNext/>
      </w:pPr>
      <w:r>
        <w:t>二、质量管理工作顺序</w:t>
      </w:r>
    </w:p>
    <w:p>
      <w:pPr>
        <w:pStyle w:val="BodyText"/>
        <w:numPr>
          <w:ilvl w:val="0"/>
          <w:numId w:val="2"/>
        </w:numPr>
      </w:pPr>
      <w:r>
        <w:t>制订项目质量计划。</w:t>
      </w:r>
    </w:p>
    <w:p>
      <w:pPr>
        <w:pStyle w:val="BodyText"/>
        <w:numPr>
          <w:ilvl w:val="0"/>
          <w:numId w:val="2"/>
        </w:numPr>
      </w:pPr>
      <w:r>
        <w:t>开发过程中进行技术评审。</w:t>
      </w:r>
    </w:p>
    <w:p>
      <w:pPr>
        <w:pStyle w:val="BodyText"/>
        <w:numPr>
          <w:ilvl w:val="0"/>
          <w:numId w:val="2"/>
        </w:numPr>
      </w:pPr>
      <w:r>
        <w:t>开发过程中进行软件测试。</w:t>
      </w:r>
    </w:p>
    <w:p>
      <w:pPr>
        <w:pStyle w:val="BodyText"/>
        <w:numPr>
          <w:ilvl w:val="0"/>
          <w:numId w:val="2"/>
        </w:numPr>
      </w:pPr>
      <w:r>
        <w:t>对缺陷进行跟踪和修复。</w:t>
      </w:r>
    </w:p>
    <w:p>
      <w:pPr>
        <w:pStyle w:val="BodyText"/>
        <w:numPr>
          <w:ilvl w:val="0"/>
          <w:numId w:val="2"/>
        </w:numPr>
      </w:pPr>
      <w:r>
        <w:t>对整个过程进行检查。</w:t>
      </w:r>
    </w:p>
    <w:p>
      <w:pPr>
        <w:pStyle w:val="BodyText"/>
        <w:numPr>
          <w:ilvl w:val="0"/>
          <w:numId w:val="2"/>
        </w:numPr>
      </w:pPr>
      <w:r>
        <w:t>持续改进文档和实现。</w:t>
      </w:r>
    </w:p>
    <w:p>
      <w:pPr>
        <w:pStyle w:val="BodyText"/>
      </w:pPr>
      <w:r>
        <w:t>实际执行时，质量管理并不是等到开发结束后才开始。需求阶段需要检查项目范围是否过大，设计阶段需要检查模块边界和数据模型是否合理，开发阶段需要检查接口和页面是否联通，测试阶段需要检查主流程和异常情况，收尾阶段需要检查文档、截图、PPT 和演示脚本是否一致。每一阶段的质量活动都为下一阶段降低返工风险。</w:t>
      </w:r>
    </w:p>
    <w:p>
      <w:pPr>
        <w:pStyle w:val="Heading2"/>
        <w:keepNext/>
      </w:pPr>
      <w:r>
        <w:t>三、组织保证</w:t>
      </w:r>
    </w:p>
    <w:p>
      <w:pPr>
        <w:pStyle w:val="BodyText"/>
      </w:pPr>
      <w:r>
        <w:t>当前项目的质量责任可分为四层：</w:t>
      </w:r>
    </w:p>
    <w:p>
      <w:pPr>
        <w:pStyle w:val="BodyText"/>
        <w:numPr>
          <w:ilvl w:val="0"/>
          <w:numId w:val="1"/>
        </w:numPr>
      </w:pPr>
      <w:r>
        <w:t>管理层：把控范围、节点和最终提交。</w:t>
      </w:r>
    </w:p>
    <w:p>
      <w:pPr>
        <w:pStyle w:val="BodyText"/>
        <w:numPr>
          <w:ilvl w:val="0"/>
          <w:numId w:val="1"/>
        </w:numPr>
      </w:pPr>
      <w:r>
        <w:t>开发层：保证功能正确与可维护。</w:t>
      </w:r>
    </w:p>
    <w:p>
      <w:pPr>
        <w:pStyle w:val="BodyText"/>
        <w:numPr>
          <w:ilvl w:val="0"/>
          <w:numId w:val="1"/>
        </w:numPr>
      </w:pPr>
      <w:r>
        <w:t>测试层：检查主流程、异常和回归。</w:t>
      </w:r>
    </w:p>
    <w:p>
      <w:pPr>
        <w:pStyle w:val="BodyText"/>
        <w:numPr>
          <w:ilvl w:val="0"/>
          <w:numId w:val="1"/>
        </w:numPr>
      </w:pPr>
      <w:r>
        <w:t>文档层：保证报告、说明和实现一致。</w:t>
      </w:r>
    </w:p>
    <w:p>
      <w:pPr>
        <w:pStyle w:val="BodyText"/>
      </w:pPr>
      <w:r>
        <w:t>结合 3 人团队实际，质量保证主要依靠角色互补。全栈开发负责人对代码、接口和数据库修改进行自检；运维测试负责人通过启动、部署、回归和演示流程发现问题；需求与研究负责人检查功能方向、论文参考和课程报告表述是否符合项目定位。对于重要内容，尽量由非原作者进行复核，减少自查遗漏。</w:t>
      </w:r>
    </w:p>
    <w:p>
      <w:pPr>
        <w:pStyle w:val="Heading2"/>
        <w:keepNext/>
      </w:pPr>
      <w:r>
        <w:t>四、阶段性质量控制</w:t>
      </w:r>
    </w:p>
    <w:p>
      <w:pPr>
        <w:pStyle w:val="Heading3"/>
        <w:keepNext/>
      </w:pPr>
      <w:r>
        <w:t>1. 需求与设计阶段</w:t>
      </w:r>
    </w:p>
    <w:p>
      <w:pPr>
        <w:pStyle w:val="BodyText"/>
      </w:pPr>
      <w:r>
        <w:t>重点检查项目是否真正围绕课程学习场景展开，是否把 Workspace、Workbench、资料、图谱、规划和画像连接成一个整体。</w:t>
      </w:r>
    </w:p>
    <w:p>
      <w:pPr>
        <w:pStyle w:val="BodyText"/>
      </w:pPr>
      <w:r>
        <w:t>本阶段的质量管理重点是防止需求漂移。团队需要确认哪些功能属于核心闭环，哪些属于展示增强，哪些只作为后续规划。需求和设计文档必须与软件杯赛题、课程报告要求和现有工程基础对应起来，避免文档描述超出实际实现能力太多。</w:t>
      </w:r>
    </w:p>
    <w:p>
      <w:pPr>
        <w:pStyle w:val="Heading3"/>
        <w:keepNext/>
      </w:pPr>
      <w:r>
        <w:t>2. 开发阶段</w:t>
      </w:r>
    </w:p>
    <w:p>
      <w:pPr>
        <w:pStyle w:val="BodyText"/>
      </w:pPr>
      <w:r>
        <w:t>重点检查：</w:t>
      </w:r>
    </w:p>
    <w:p>
      <w:pPr>
        <w:pStyle w:val="BodyText"/>
        <w:numPr>
          <w:ilvl w:val="0"/>
          <w:numId w:val="1"/>
        </w:numPr>
      </w:pPr>
      <w:r>
        <w:t>接口是否与数据模型匹配。</w:t>
      </w:r>
    </w:p>
    <w:p>
      <w:pPr>
        <w:pStyle w:val="BodyText"/>
        <w:numPr>
          <w:ilvl w:val="0"/>
          <w:numId w:val="1"/>
        </w:numPr>
      </w:pPr>
      <w:r>
        <w:t>页面是否符合实际使用流程。</w:t>
      </w:r>
    </w:p>
    <w:p>
      <w:pPr>
        <w:pStyle w:val="BodyText"/>
        <w:numPr>
          <w:ilvl w:val="0"/>
          <w:numId w:val="1"/>
        </w:numPr>
      </w:pPr>
      <w:r>
        <w:t>核心路径是否能稳定走通。</w:t>
      </w:r>
    </w:p>
    <w:p>
      <w:pPr>
        <w:pStyle w:val="BodyText"/>
        <w:numPr>
          <w:ilvl w:val="0"/>
          <w:numId w:val="1"/>
        </w:numPr>
      </w:pPr>
      <w:r>
        <w:t>Codex 辅助生成的代码是否经过人工审查和运行验证。</w:t>
      </w:r>
    </w:p>
    <w:p>
      <w:pPr>
        <w:pStyle w:val="BodyText"/>
        <w:numPr>
          <w:ilvl w:val="0"/>
          <w:numId w:val="1"/>
        </w:numPr>
      </w:pPr>
      <w:r>
        <w:t>数据库结构变更是否同步到本地环境和阿里云数据库环境。</w:t>
      </w:r>
    </w:p>
    <w:p>
      <w:pPr>
        <w:pStyle w:val="BodyText"/>
      </w:pPr>
      <w:r>
        <w:t>开发阶段的质量管理主要通过自测、联调和局部评审完成。每完成一个模块，应至少检查页面是否能打开、接口是否返回预期数据、异常情况是否有反馈、相关报告是否需要同步修改。对于智能能力模块，还要检查外部服务不可用时是否存在降级说明。</w:t>
      </w:r>
    </w:p>
    <w:p>
      <w:pPr>
        <w:pStyle w:val="BodyText"/>
      </w:pPr>
      <w:r>
        <w:t>在实际业务中，联调质量尤其重要。例如 Workspace 删除或复制会影响 Workbench、FileSystemObject、LearningPlan、KnowledgeChunk 和 StudioArtifact 等关联数据；资料删除会影响 Workbench 资源列表、已打开面板和知识索引；AI Studio 生成物需要既能在当前 Workbench 打开，又能保存到资料库；AI Terminal 创建 Workbench 或计划时需要经过用户确认，并能在对应标签页中看到结果。这些跨模块联动是质量管理的重点。</w:t>
      </w:r>
    </w:p>
    <w:p>
      <w:pPr>
        <w:pStyle w:val="Heading3"/>
        <w:keepNext/>
      </w:pPr>
      <w:r>
        <w:t>3. 测试阶段</w:t>
      </w:r>
    </w:p>
    <w:p>
      <w:pPr>
        <w:pStyle w:val="BodyText"/>
      </w:pPr>
      <w:r>
        <w:t>重点检查：</w:t>
      </w:r>
    </w:p>
    <w:p>
      <w:pPr>
        <w:pStyle w:val="BodyText"/>
        <w:numPr>
          <w:ilvl w:val="0"/>
          <w:numId w:val="1"/>
        </w:numPr>
      </w:pPr>
      <w:r>
        <w:t>登录与权限。</w:t>
      </w:r>
    </w:p>
    <w:p>
      <w:pPr>
        <w:pStyle w:val="BodyText"/>
        <w:numPr>
          <w:ilvl w:val="0"/>
          <w:numId w:val="1"/>
        </w:numPr>
      </w:pPr>
      <w:r>
        <w:t>课程空间和学习现场的 CRUD。</w:t>
      </w:r>
    </w:p>
    <w:p>
      <w:pPr>
        <w:pStyle w:val="BodyText"/>
        <w:numPr>
          <w:ilvl w:val="0"/>
          <w:numId w:val="1"/>
        </w:numPr>
      </w:pPr>
      <w:r>
        <w:t>资料管理与检索。</w:t>
      </w:r>
    </w:p>
    <w:p>
      <w:pPr>
        <w:pStyle w:val="BodyText"/>
        <w:numPr>
          <w:ilvl w:val="0"/>
          <w:numId w:val="1"/>
        </w:numPr>
      </w:pPr>
      <w:r>
        <w:t>智能能力的降级和异常处理。</w:t>
      </w:r>
    </w:p>
    <w:p>
      <w:pPr>
        <w:pStyle w:val="BodyText"/>
        <w:numPr>
          <w:ilvl w:val="0"/>
          <w:numId w:val="1"/>
        </w:numPr>
      </w:pPr>
      <w:r>
        <w:t>阿里云数据库连接和部署环境启动。</w:t>
      </w:r>
    </w:p>
    <w:p>
      <w:pPr>
        <w:pStyle w:val="BodyText"/>
        <w:numPr>
          <w:ilvl w:val="0"/>
          <w:numId w:val="1"/>
        </w:numPr>
      </w:pPr>
      <w:r>
        <w:t>答辩演示路径、截图和备用材料。</w:t>
      </w:r>
    </w:p>
    <w:p>
      <w:pPr>
        <w:pStyle w:val="BodyText"/>
      </w:pPr>
      <w:r>
        <w:t>测试阶段不只验证功能是否“点得动”，还要验证是否适合演示和提交。测试人员应按照答辩脚本走一遍完整流程，记录卡顿、报错、页面空状态和数据不一致问题。对于无法及时修复的问题，应判断是否影响核心流程，并决定修复、降级或在报告中说明。</w:t>
      </w:r>
    </w:p>
    <w:p>
      <w:pPr>
        <w:pStyle w:val="BodyText"/>
      </w:pPr>
      <w:r>
        <w:t>质量管理记录应尽量围绕真实场景描述。例如“上传数据库课程 PDF 后建立知识索引，AI Terminal 能根据资料回答 JOIN 与 GROUP BY 的问题”“在 Workbench 中打开笔记和代码面板后刷新页面，布局和资源状态能够恢复”“AI Studio 生成的测验保存到 Generated 文件夹并能再次打开”。这种记录比“完成测试”更能体现项目质量。</w:t>
      </w:r>
    </w:p>
    <w:p>
      <w:pPr>
        <w:pStyle w:val="Heading2"/>
        <w:keepNext/>
      </w:pPr>
      <w:r>
        <w:t>五、缺陷跟踪与过程改进</w:t>
      </w:r>
    </w:p>
    <w:p>
      <w:pPr>
        <w:pStyle w:val="BodyText"/>
      </w:pPr>
      <w:r>
        <w:t>项目质量管理不是只找 bug，更要把缺陷归因到流程问题上。</w:t>
      </w:r>
    </w:p>
    <w:p>
      <w:pPr>
        <w:pStyle w:val="BodyText"/>
        <w:numPr>
          <w:ilvl w:val="0"/>
          <w:numId w:val="1"/>
        </w:numPr>
      </w:pPr>
      <w:r>
        <w:t>如果功能遗漏，说明需求拆分不够细。</w:t>
      </w:r>
    </w:p>
    <w:p>
      <w:pPr>
        <w:pStyle w:val="BodyText"/>
        <w:numPr>
          <w:ilvl w:val="0"/>
          <w:numId w:val="1"/>
        </w:numPr>
      </w:pPr>
      <w:r>
        <w:t>如果文档不一致，说明版本控制不够严格。</w:t>
      </w:r>
    </w:p>
    <w:p>
      <w:pPr>
        <w:pStyle w:val="BodyText"/>
        <w:numPr>
          <w:ilvl w:val="0"/>
          <w:numId w:val="1"/>
        </w:numPr>
      </w:pPr>
      <w:r>
        <w:t>如果演示不稳定，说明回归测试太晚。</w:t>
      </w:r>
    </w:p>
    <w:p>
      <w:pPr>
        <w:pStyle w:val="BodyText"/>
      </w:pPr>
      <w:r>
        <w:t>因此，缺陷处理后还要同步修正文档、检查清单和任务划分。</w:t>
      </w:r>
    </w:p>
    <w:p>
      <w:pPr>
        <w:pStyle w:val="BodyText"/>
      </w:pPr>
      <w:r>
        <w:t>缺陷跟踪建议按严重级别处理。严重缺陷包括系统无法启动、登录失败、核心数据丢失、跨用户数据访问和报告关键数据错误；一般缺陷包括局部页面状态异常、个别接口返回不稳定和文档表述不够准确；轻微缺陷包括样式细节、措辞优化和非核心增强功能体验问题。缺陷关闭前，应确认修复是否引入新的问题。</w:t>
      </w:r>
    </w:p>
    <w:p>
      <w:pPr>
        <w:pStyle w:val="Heading2"/>
        <w:keepNext/>
      </w:pPr>
      <w:r>
        <w:t>六、软件评审内容</w:t>
      </w:r>
    </w:p>
    <w:p>
      <w:pPr>
        <w:pStyle w:val="BodyText"/>
      </w:pPr>
      <w:r>
        <w:t>质量管理应覆盖：</w:t>
      </w:r>
    </w:p>
    <w:p>
      <w:pPr>
        <w:pStyle w:val="BodyText"/>
        <w:numPr>
          <w:ilvl w:val="0"/>
          <w:numId w:val="1"/>
        </w:numPr>
      </w:pPr>
      <w:r>
        <w:t>需求定义</w:t>
      </w:r>
    </w:p>
    <w:p>
      <w:pPr>
        <w:pStyle w:val="BodyText"/>
        <w:numPr>
          <w:ilvl w:val="0"/>
          <w:numId w:val="1"/>
        </w:numPr>
      </w:pPr>
      <w:r>
        <w:t>设计</w:t>
      </w:r>
    </w:p>
    <w:p>
      <w:pPr>
        <w:pStyle w:val="BodyText"/>
        <w:numPr>
          <w:ilvl w:val="0"/>
          <w:numId w:val="1"/>
        </w:numPr>
      </w:pPr>
      <w:r>
        <w:t>代码</w:t>
      </w:r>
    </w:p>
    <w:p>
      <w:pPr>
        <w:pStyle w:val="BodyText"/>
        <w:numPr>
          <w:ilvl w:val="0"/>
          <w:numId w:val="1"/>
        </w:numPr>
      </w:pPr>
      <w:r>
        <w:t>测试计划</w:t>
      </w:r>
    </w:p>
    <w:p>
      <w:pPr>
        <w:pStyle w:val="BodyText"/>
        <w:numPr>
          <w:ilvl w:val="0"/>
          <w:numId w:val="1"/>
        </w:numPr>
      </w:pPr>
      <w:r>
        <w:t>测试用例</w:t>
      </w:r>
    </w:p>
    <w:p>
      <w:pPr>
        <w:pStyle w:val="BodyText"/>
      </w:pPr>
      <w:r>
        <w:t>本项目中，课程报告自身也应作为一种“管理对象”参与评审，因为它直接反映项目状态。</w:t>
      </w:r>
    </w:p>
    <w:p>
      <w:pPr>
        <w:pStyle w:val="BodyText"/>
      </w:pPr>
      <w:r>
        <w:t>评审时应重点查看五类一致性：需求与功能是否一致，设计与代码是否一致，测试与风险是否一致，成本与资源是否一致，报告之间是否一致。例如，可行性分析中写到 3 人团队、Codex 类工具和阿里云数据库，资源计划、成本计划和总结报告也应保持同样口径。</w:t>
      </w:r>
    </w:p>
    <w:p>
      <w:pPr>
        <w:pStyle w:val="Heading2"/>
        <w:keepNext/>
      </w:pPr>
      <w:r>
        <w:t>七、质量度量</w:t>
      </w:r>
    </w:p>
    <w:p>
      <w:pPr>
        <w:pStyle w:val="BodyText"/>
      </w:pPr>
      <w:r>
        <w:t>建议使用以下度量：</w:t>
      </w:r>
    </w:p>
    <w:p>
      <w:pPr>
        <w:pStyle w:val="BodyText"/>
        <w:numPr>
          <w:ilvl w:val="0"/>
          <w:numId w:val="1"/>
        </w:numPr>
      </w:pPr>
      <w:r>
        <w:t>缺陷密度</w:t>
      </w:r>
    </w:p>
    <w:p>
      <w:pPr>
        <w:pStyle w:val="BodyText"/>
        <w:numPr>
          <w:ilvl w:val="0"/>
          <w:numId w:val="1"/>
        </w:numPr>
      </w:pPr>
      <w:r>
        <w:t>缺陷清除率</w:t>
      </w:r>
    </w:p>
    <w:p>
      <w:pPr>
        <w:pStyle w:val="BodyText"/>
        <w:numPr>
          <w:ilvl w:val="0"/>
          <w:numId w:val="1"/>
        </w:numPr>
      </w:pPr>
      <w:r>
        <w:t>回归通过率</w:t>
      </w:r>
    </w:p>
    <w:p>
      <w:pPr>
        <w:pStyle w:val="BodyText"/>
        <w:numPr>
          <w:ilvl w:val="0"/>
          <w:numId w:val="1"/>
        </w:numPr>
      </w:pPr>
      <w:r>
        <w:t>关键流程可用率</w:t>
      </w:r>
    </w:p>
    <w:p>
      <w:pPr>
        <w:pStyle w:val="BodyText"/>
        <w:numPr>
          <w:ilvl w:val="0"/>
          <w:numId w:val="1"/>
        </w:numPr>
      </w:pPr>
      <w:r>
        <w:t>文档一致性</w:t>
      </w:r>
    </w:p>
    <w:p>
      <w:pPr>
        <w:pStyle w:val="BodyText"/>
      </w:pPr>
      <w:r>
        <w:t>这些指标不必追求复杂统计，但要能反映项目是否在变好。</w:t>
      </w:r>
    </w:p>
    <w:p>
      <w:pPr>
        <w:pStyle w:val="BodyText"/>
      </w:pPr>
      <w:r>
        <w:t>结合课程项目特点，还可以增加三个轻量指标：核心演示链路通过率、报告一致性问题数量、外部服务降级方案覆盖率。核心演示链路通过率用于衡量答辩稳定性；报告一致性问题数量用于衡量文档质量；降级方案覆盖率用于衡量智能服务和部署环境风险是否可控。</w:t>
      </w:r>
    </w:p>
    <w:p>
      <w:pPr>
        <w:pStyle w:val="Heading2"/>
        <w:keepNext/>
      </w:pPr>
      <w:r>
        <w:t>八、阶段性质量管理记录</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管理对象</w:t>
            </w:r>
          </w:p>
        </w:tc>
        <w:tc>
          <w:tcPr>
            <w:tcW w:w="6760" w:type="dxa"/>
            <w:shd w:fill="F2F4F7"/>
            <w:vAlign w:val="center"/>
          </w:tcPr>
          <w:p>
            <w:pPr>
              <w:pStyle w:val="TableText"/>
              <w:spacing w:after="0"/>
            </w:pPr>
            <w:r>
              <w:rPr>
                <w:b/>
              </w:rPr>
              <w:t>当前记录</w:t>
            </w:r>
          </w:p>
        </w:tc>
      </w:tr>
      <w:tr>
        <w:tc>
          <w:tcPr>
            <w:tcW w:w="2600" w:type="dxa"/>
            <w:vAlign w:val="center"/>
          </w:tcPr>
          <w:p>
            <w:pPr>
              <w:pStyle w:val="TableText"/>
              <w:spacing w:after="0"/>
            </w:pPr>
            <w:r>
              <w:t>需求文档</w:t>
            </w:r>
          </w:p>
        </w:tc>
        <w:tc>
          <w:tcPr>
            <w:tcW w:w="6760" w:type="dxa"/>
            <w:vAlign w:val="center"/>
          </w:tcPr>
          <w:p>
            <w:pPr>
              <w:pStyle w:val="TableText"/>
              <w:spacing w:after="0"/>
            </w:pPr>
            <w:r>
              <w:t>已围绕软件杯项目和课程报告要求统一口径</w:t>
            </w:r>
          </w:p>
        </w:tc>
      </w:tr>
      <w:tr>
        <w:tc>
          <w:tcPr>
            <w:tcW w:w="2600" w:type="dxa"/>
            <w:vAlign w:val="center"/>
          </w:tcPr>
          <w:p>
            <w:pPr>
              <w:pStyle w:val="TableText"/>
              <w:spacing w:after="0"/>
            </w:pPr>
            <w:r>
              <w:t>设计文档</w:t>
            </w:r>
          </w:p>
        </w:tc>
        <w:tc>
          <w:tcPr>
            <w:tcW w:w="6760" w:type="dxa"/>
            <w:vAlign w:val="center"/>
          </w:tcPr>
          <w:p>
            <w:pPr>
              <w:pStyle w:val="TableText"/>
              <w:spacing w:after="0"/>
            </w:pPr>
            <w:r>
              <w:t>已覆盖 Workspace Agent、系统功能、数据库需求等材料</w:t>
            </w:r>
          </w:p>
        </w:tc>
      </w:tr>
      <w:tr>
        <w:tc>
          <w:tcPr>
            <w:tcW w:w="2600" w:type="dxa"/>
            <w:vAlign w:val="center"/>
          </w:tcPr>
          <w:p>
            <w:pPr>
              <w:pStyle w:val="TableText"/>
              <w:spacing w:after="0"/>
            </w:pPr>
            <w:r>
              <w:t>代码结构</w:t>
            </w:r>
          </w:p>
        </w:tc>
        <w:tc>
          <w:tcPr>
            <w:tcW w:w="6760" w:type="dxa"/>
            <w:vAlign w:val="center"/>
          </w:tcPr>
          <w:p>
            <w:pPr>
              <w:pStyle w:val="TableText"/>
              <w:spacing w:after="0"/>
            </w:pPr>
            <w:r>
              <w:t>已形成前端、后端、数据库和服务层分工</w:t>
            </w:r>
          </w:p>
        </w:tc>
      </w:tr>
      <w:tr>
        <w:tc>
          <w:tcPr>
            <w:tcW w:w="2600" w:type="dxa"/>
            <w:vAlign w:val="center"/>
          </w:tcPr>
          <w:p>
            <w:pPr>
              <w:pStyle w:val="TableText"/>
              <w:spacing w:after="0"/>
            </w:pPr>
            <w:r>
              <w:t>测试重点</w:t>
            </w:r>
          </w:p>
        </w:tc>
        <w:tc>
          <w:tcPr>
            <w:tcW w:w="6760" w:type="dxa"/>
            <w:vAlign w:val="center"/>
          </w:tcPr>
          <w:p>
            <w:pPr>
              <w:pStyle w:val="TableText"/>
              <w:spacing w:after="0"/>
            </w:pPr>
            <w:r>
              <w:t>登录、Workspace、Workbench、资料、图谱、规划、AI Terminal</w:t>
            </w:r>
          </w:p>
        </w:tc>
      </w:tr>
      <w:tr>
        <w:tc>
          <w:tcPr>
            <w:tcW w:w="2600" w:type="dxa"/>
            <w:vAlign w:val="center"/>
          </w:tcPr>
          <w:p>
            <w:pPr>
              <w:pStyle w:val="TableText"/>
              <w:spacing w:after="0"/>
            </w:pPr>
            <w:r>
              <w:t>文档一致性</w:t>
            </w:r>
          </w:p>
        </w:tc>
        <w:tc>
          <w:tcPr>
            <w:tcW w:w="6760" w:type="dxa"/>
            <w:vAlign w:val="center"/>
          </w:tcPr>
          <w:p>
            <w:pPr>
              <w:pStyle w:val="TableText"/>
              <w:spacing w:after="0"/>
            </w:pPr>
            <w:r>
              <w:t>11 份报告已按同一项目名称和时间线展开</w:t>
            </w:r>
          </w:p>
        </w:tc>
      </w:tr>
    </w:tbl>
    <w:p>
      <w:pPr>
        <w:pStyle w:val="BodyText"/>
        <w:spacing w:after="80"/>
      </w:pPr>
    </w:p>
    <w:p>
      <w:pPr>
        <w:pStyle w:val="BodyText"/>
      </w:pPr>
      <w:r>
        <w:t>阶段性记录说明项目已经具备较好的文档和工程基础，但仍需继续补足执行证据。后续可在测试记录中补充具体用例、缺陷处理结果和演示截图，在风险管理报告中补充风险状态变化，在项目总结中说明质量管理带来的实际改进。</w:t>
      </w:r>
    </w:p>
    <w:p>
      <w:pPr>
        <w:pStyle w:val="Heading2"/>
        <w:keepNext/>
      </w:pPr>
      <w:r>
        <w:t>九、度量结果分析</w:t>
      </w:r>
    </w:p>
    <w:p>
      <w:pPr>
        <w:pStyle w:val="BodyText"/>
      </w:pPr>
      <w:r>
        <w:t>从阶段性质量看，本项目目前的强项是功能范围完整、文档基础充分；弱项是自动化测试和最终演示回归仍需强化。质量管理后续应继续围绕“缺陷是否关闭、演示是否稳定、报告是否一致”三个指标推进。</w:t>
      </w:r>
    </w:p>
    <w:p>
      <w:pPr>
        <w:pStyle w:val="BodyText"/>
      </w:pPr>
      <w:r>
        <w:t>自动化测试不足并不意味着质量无法控制，但需要用更严格的手工回归和清单检查弥补。尤其在课程提交前，应把登录、课程空间、学习现场、资料库、知识图谱、AI Terminal 和学习规划作为固定检查项。对于 AI Studio、多模态分析等高级功能，应根据稳定性决定是否放入主演示路径。</w:t>
      </w:r>
    </w:p>
    <w:p>
      <w:pPr>
        <w:pStyle w:val="BodyText"/>
      </w:pPr>
      <w:r>
        <w:t>文档质量方面，目前 11 份报告已经形成统一框架，后续重点是补充项目真实信息，包括 3 人团队分工、Codex 辅助开发、阿里云数据库迁移和实际现金成本控制。这些内容能够使报告更可信，也能减少答辩时解释成本。</w:t>
      </w:r>
    </w:p>
    <w:p>
      <w:pPr>
        <w:pStyle w:val="BodyText"/>
      </w:pPr>
      <w:r>
        <w:t>更进一步，质量管理报告应体现业务质量结论：系统的核心价值不在某一个 AI 回答，而在 Workspace、资料库、Workbench、检索、规划和生成物之间能否形成闭环。如果用户上传资料后无法被检索，或生成内容无法保存回学习现场，智能能力就只是临时演示；只有这些产物能沉淀为课程资源，系统才真正符合“AI Learning Workspace”的定位。</w:t>
      </w:r>
    </w:p>
    <w:p>
      <w:pPr>
        <w:pStyle w:val="Heading2"/>
        <w:keepNext/>
      </w:pPr>
      <w:r>
        <w:t>十、当前阶段的质量结论</w:t>
      </w:r>
    </w:p>
    <w:p>
      <w:pPr>
        <w:pStyle w:val="BodyText"/>
      </w:pPr>
      <w:r>
        <w:t>当前项目已具备较完整的结构和较清晰的功能边界，质量管理重点已从“搭框架”转向“查缺陷、保一致、稳演示”。后续最需要补强的是自动化回归、文档同步和最终演示路径。</w:t>
      </w:r>
    </w:p>
    <w:p>
      <w:pPr>
        <w:pStyle w:val="BodyText"/>
      </w:pPr>
      <w:r>
        <w:t>质量结论是：项目可以进入收尾和集中校对阶段，但不适合继续无节制增加新功能。后续新增内容必须满足三个条件：不破坏核心流程、不显著增加部署和测试压力、能够在报告中同步说明。否则应作为后续优化项记录，而不是加入当前交付范围。</w:t>
      </w:r>
    </w:p>
    <w:p>
      <w:pPr>
        <w:pStyle w:val="Heading2"/>
        <w:keepNext/>
      </w:pPr>
      <w:r>
        <w:t>十一、经验总结</w:t>
      </w:r>
    </w:p>
    <w:p>
      <w:pPr>
        <w:pStyle w:val="BodyText"/>
        <w:numPr>
          <w:ilvl w:val="0"/>
          <w:numId w:val="2"/>
        </w:numPr>
      </w:pPr>
      <w:r>
        <w:t>质量管理要早，不要等最后一周。</w:t>
      </w:r>
    </w:p>
    <w:p>
      <w:pPr>
        <w:pStyle w:val="BodyText"/>
        <w:numPr>
          <w:ilvl w:val="0"/>
          <w:numId w:val="2"/>
        </w:numPr>
      </w:pPr>
      <w:r>
        <w:t>文档和代码要一起管。</w:t>
      </w:r>
    </w:p>
    <w:p>
      <w:pPr>
        <w:pStyle w:val="BodyText"/>
        <w:numPr>
          <w:ilvl w:val="0"/>
          <w:numId w:val="2"/>
        </w:numPr>
      </w:pPr>
      <w:r>
        <w:t>复杂功能要先留降级方案。</w:t>
      </w:r>
    </w:p>
    <w:p>
      <w:pPr>
        <w:pStyle w:val="BodyText"/>
        <w:numPr>
          <w:ilvl w:val="0"/>
          <w:numId w:val="2"/>
        </w:numPr>
      </w:pPr>
      <w:r>
        <w:t>对课程作业来说，稳定可交付比炫技更重要。</w:t>
      </w:r>
    </w:p>
    <w:p>
      <w:pPr>
        <w:pStyle w:val="BodyText"/>
        <w:numPr>
          <w:ilvl w:val="0"/>
          <w:numId w:val="2"/>
        </w:numPr>
      </w:pPr>
      <w:r>
        <w:t>AI 辅助开发提高效率，但必须保留人工复核。</w:t>
      </w:r>
    </w:p>
    <w:p>
      <w:pPr>
        <w:pStyle w:val="BodyText"/>
        <w:numPr>
          <w:ilvl w:val="0"/>
          <w:numId w:val="2"/>
        </w:numPr>
      </w:pPr>
      <w:r>
        <w:t>云端部署和数据库配置要提前检查，不能只在答辩前临时处理。</w:t>
      </w:r>
    </w:p>
    <w:p>
      <w:pPr>
        <w:pStyle w:val="BodyText"/>
        <w:numPr>
          <w:ilvl w:val="0"/>
          <w:numId w:val="2"/>
        </w:numPr>
      </w:pPr>
      <w:r>
        <w:t>报告之间的数据口径越早统一，后期返工越少。</w:t>
      </w:r>
    </w:p>
    <w:p>
      <w:pPr>
        <w:pStyle w:val="BodyText"/>
      </w:pPr>
      <w:r>
        <w:t>总体来看，本项目的质量管理体现了课程项目的实际特点：资源有限、时间固定、功能较多，因此必须把稳定性和一致性放在首位。只要持续执行缺陷跟踪、文档校对和演示回归，项目质量可以满足课程提交和软件杯展示的基本要求。</w:t>
      </w:r>
    </w:p>
    <w:p>
      <w:pPr>
        <w:pStyle w:val="Heading1"/>
        <w:pageBreakBefore/>
        <w:keepNext/>
      </w:pPr>
      <w:r>
        <w:t>10 风险管理报告</w:t>
      </w:r>
    </w:p>
    <w:p>
      <w:pPr>
        <w:pStyle w:val="Heading2"/>
        <w:keepNext/>
      </w:pPr>
      <w:r>
        <w:t>一、风险管理概述</w:t>
      </w:r>
    </w:p>
    <w:p>
      <w:pPr>
        <w:pStyle w:val="BodyText"/>
      </w:pPr>
      <w:r>
        <w:t>项目风险管理包括风险识别、风险评估、风险应对和风险监控。本报告结合当前软件杯项目，整理十大风险及其处理结果。</w:t>
      </w:r>
    </w:p>
    <w:p>
      <w:pPr>
        <w:pStyle w:val="BodyText"/>
      </w:pPr>
      <w:r>
        <w:t>风险管理报告是在风险计划基础上的执行性总结，重点说明风险是否被识别、是否被跟踪、采取了哪些措施以及剩余风险是什么。本项目风险来源较多，包括需求范围、智能服务、数据库和部署环境、3 人团队资源、Codex 辅助生成内容、课程报告一致性和最终演示稳定性。风险管理的目标不是让项目没有问题，而是让问题不会失控到影响最终提交。</w:t>
      </w:r>
    </w:p>
    <w:p>
      <w:pPr>
        <w:pStyle w:val="Heading2"/>
        <w:keepNext/>
      </w:pPr>
      <w:r>
        <w:t>二、十大风险清单</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1560"/>
        <w:gridCol w:w="1560"/>
        <w:gridCol w:w="1560"/>
        <w:gridCol w:w="1560"/>
        <w:gridCol w:w="1560"/>
        <w:gridCol w:w="1560"/>
      </w:tblGrid>
      <w:tr>
        <w:tc>
          <w:tcPr>
            <w:tcW w:w="1560" w:type="dxa"/>
            <w:shd w:fill="F2F4F7"/>
            <w:vAlign w:val="center"/>
          </w:tcPr>
          <w:p>
            <w:pPr>
              <w:pStyle w:val="TableText"/>
              <w:spacing w:after="0"/>
            </w:pPr>
            <w:r>
              <w:rPr>
                <w:b/>
              </w:rPr>
              <w:t>序号</w:t>
            </w:r>
          </w:p>
        </w:tc>
        <w:tc>
          <w:tcPr>
            <w:tcW w:w="1560" w:type="dxa"/>
            <w:shd w:fill="F2F4F7"/>
            <w:vAlign w:val="center"/>
          </w:tcPr>
          <w:p>
            <w:pPr>
              <w:pStyle w:val="TableText"/>
              <w:spacing w:after="0"/>
            </w:pPr>
            <w:r>
              <w:rPr>
                <w:b/>
              </w:rPr>
              <w:t>风险项</w:t>
            </w:r>
          </w:p>
        </w:tc>
        <w:tc>
          <w:tcPr>
            <w:tcW w:w="1560" w:type="dxa"/>
            <w:shd w:fill="F2F4F7"/>
            <w:vAlign w:val="center"/>
          </w:tcPr>
          <w:p>
            <w:pPr>
              <w:pStyle w:val="TableText"/>
              <w:spacing w:after="0"/>
            </w:pPr>
            <w:r>
              <w:rPr>
                <w:b/>
              </w:rPr>
              <w:t>来源与条件</w:t>
            </w:r>
          </w:p>
        </w:tc>
        <w:tc>
          <w:tcPr>
            <w:tcW w:w="1560" w:type="dxa"/>
            <w:shd w:fill="F2F4F7"/>
            <w:vAlign w:val="center"/>
          </w:tcPr>
          <w:p>
            <w:pPr>
              <w:pStyle w:val="TableText"/>
              <w:spacing w:after="0"/>
            </w:pPr>
            <w:r>
              <w:rPr>
                <w:b/>
              </w:rPr>
              <w:t>概率</w:t>
            </w:r>
          </w:p>
        </w:tc>
        <w:tc>
          <w:tcPr>
            <w:tcW w:w="1560" w:type="dxa"/>
            <w:shd w:fill="F2F4F7"/>
            <w:vAlign w:val="center"/>
          </w:tcPr>
          <w:p>
            <w:pPr>
              <w:pStyle w:val="TableText"/>
              <w:spacing w:after="0"/>
            </w:pPr>
            <w:r>
              <w:rPr>
                <w:b/>
              </w:rPr>
              <w:t>影响</w:t>
            </w:r>
          </w:p>
        </w:tc>
        <w:tc>
          <w:tcPr>
            <w:tcW w:w="1560" w:type="dxa"/>
            <w:shd w:fill="F2F4F7"/>
            <w:vAlign w:val="center"/>
          </w:tcPr>
          <w:p>
            <w:pPr>
              <w:pStyle w:val="TableText"/>
              <w:spacing w:after="0"/>
            </w:pPr>
            <w:r>
              <w:rPr>
                <w:b/>
              </w:rPr>
              <w:t>应对策略</w:t>
            </w:r>
          </w:p>
        </w:tc>
      </w:tr>
      <w:tr>
        <w:tc>
          <w:tcPr>
            <w:tcW w:w="1560" w:type="dxa"/>
            <w:vAlign w:val="center"/>
          </w:tcPr>
          <w:p>
            <w:pPr>
              <w:pStyle w:val="TableText"/>
              <w:spacing w:after="0"/>
            </w:pPr>
            <w:r>
              <w:t>1</w:t>
            </w:r>
          </w:p>
        </w:tc>
        <w:tc>
          <w:tcPr>
            <w:tcW w:w="1560" w:type="dxa"/>
            <w:vAlign w:val="center"/>
          </w:tcPr>
          <w:p>
            <w:pPr>
              <w:pStyle w:val="TableText"/>
              <w:spacing w:after="0"/>
            </w:pPr>
            <w:r>
              <w:t>需求蔓延</w:t>
            </w:r>
          </w:p>
        </w:tc>
        <w:tc>
          <w:tcPr>
            <w:tcW w:w="1560" w:type="dxa"/>
            <w:vAlign w:val="center"/>
          </w:tcPr>
          <w:p>
            <w:pPr>
              <w:pStyle w:val="TableText"/>
              <w:spacing w:after="0"/>
            </w:pPr>
            <w:r>
              <w:t>课程作业与项目演示同时推动</w:t>
            </w:r>
          </w:p>
        </w:tc>
        <w:tc>
          <w:tcPr>
            <w:tcW w:w="1560" w:type="dxa"/>
            <w:vAlign w:val="center"/>
          </w:tcPr>
          <w:p>
            <w:pPr>
              <w:pStyle w:val="TableText"/>
              <w:spacing w:after="0"/>
            </w:pPr>
            <w:r>
              <w:t>高</w:t>
            </w:r>
          </w:p>
        </w:tc>
        <w:tc>
          <w:tcPr>
            <w:tcW w:w="1560" w:type="dxa"/>
            <w:vAlign w:val="center"/>
          </w:tcPr>
          <w:p>
            <w:pPr>
              <w:pStyle w:val="TableText"/>
              <w:spacing w:after="0"/>
            </w:pPr>
            <w:r>
              <w:t>高</w:t>
            </w:r>
          </w:p>
        </w:tc>
        <w:tc>
          <w:tcPr>
            <w:tcW w:w="1560" w:type="dxa"/>
            <w:vAlign w:val="center"/>
          </w:tcPr>
          <w:p>
            <w:pPr>
              <w:pStyle w:val="TableText"/>
              <w:spacing w:after="0"/>
            </w:pPr>
            <w:r>
              <w:t>冻结范围，保核心闭环</w:t>
            </w:r>
          </w:p>
        </w:tc>
      </w:tr>
      <w:tr>
        <w:tc>
          <w:tcPr>
            <w:tcW w:w="1560" w:type="dxa"/>
            <w:vAlign w:val="center"/>
          </w:tcPr>
          <w:p>
            <w:pPr>
              <w:pStyle w:val="TableText"/>
              <w:spacing w:after="0"/>
            </w:pPr>
            <w:r>
              <w:t>2</w:t>
            </w:r>
          </w:p>
        </w:tc>
        <w:tc>
          <w:tcPr>
            <w:tcW w:w="1560" w:type="dxa"/>
            <w:vAlign w:val="center"/>
          </w:tcPr>
          <w:p>
            <w:pPr>
              <w:pStyle w:val="TableText"/>
              <w:spacing w:after="0"/>
            </w:pPr>
            <w:r>
              <w:t>智能服务不可用</w:t>
            </w:r>
          </w:p>
        </w:tc>
        <w:tc>
          <w:tcPr>
            <w:tcW w:w="1560" w:type="dxa"/>
            <w:vAlign w:val="center"/>
          </w:tcPr>
          <w:p>
            <w:pPr>
              <w:pStyle w:val="TableText"/>
              <w:spacing w:after="0"/>
            </w:pPr>
            <w:r>
              <w:t>外部模型、检索或分析接口不稳定</w:t>
            </w:r>
          </w:p>
        </w:tc>
        <w:tc>
          <w:tcPr>
            <w:tcW w:w="1560" w:type="dxa"/>
            <w:vAlign w:val="center"/>
          </w:tcPr>
          <w:p>
            <w:pPr>
              <w:pStyle w:val="TableText"/>
              <w:spacing w:after="0"/>
            </w:pPr>
            <w:r>
              <w:t>中</w:t>
            </w:r>
          </w:p>
        </w:tc>
        <w:tc>
          <w:tcPr>
            <w:tcW w:w="1560" w:type="dxa"/>
            <w:vAlign w:val="center"/>
          </w:tcPr>
          <w:p>
            <w:pPr>
              <w:pStyle w:val="TableText"/>
              <w:spacing w:after="0"/>
            </w:pPr>
            <w:r>
              <w:t>高</w:t>
            </w:r>
          </w:p>
        </w:tc>
        <w:tc>
          <w:tcPr>
            <w:tcW w:w="1560" w:type="dxa"/>
            <w:vAlign w:val="center"/>
          </w:tcPr>
          <w:p>
            <w:pPr>
              <w:pStyle w:val="TableText"/>
              <w:spacing w:after="0"/>
            </w:pPr>
            <w:r>
              <w:t>准备本地替代与降级内容</w:t>
            </w:r>
          </w:p>
        </w:tc>
      </w:tr>
      <w:tr>
        <w:tc>
          <w:tcPr>
            <w:tcW w:w="1560" w:type="dxa"/>
            <w:vAlign w:val="center"/>
          </w:tcPr>
          <w:p>
            <w:pPr>
              <w:pStyle w:val="TableText"/>
              <w:spacing w:after="0"/>
            </w:pPr>
            <w:r>
              <w:t>3</w:t>
            </w:r>
          </w:p>
        </w:tc>
        <w:tc>
          <w:tcPr>
            <w:tcW w:w="1560" w:type="dxa"/>
            <w:vAlign w:val="center"/>
          </w:tcPr>
          <w:p>
            <w:pPr>
              <w:pStyle w:val="TableText"/>
              <w:spacing w:after="0"/>
            </w:pPr>
            <w:r>
              <w:t>数据结构反复修改</w:t>
            </w:r>
          </w:p>
        </w:tc>
        <w:tc>
          <w:tcPr>
            <w:tcW w:w="1560" w:type="dxa"/>
            <w:vAlign w:val="center"/>
          </w:tcPr>
          <w:p>
            <w:pPr>
              <w:pStyle w:val="TableText"/>
              <w:spacing w:after="0"/>
            </w:pPr>
            <w:r>
              <w:t>图谱、规划、学习画像联动复杂</w:t>
            </w:r>
          </w:p>
        </w:tc>
        <w:tc>
          <w:tcPr>
            <w:tcW w:w="1560" w:type="dxa"/>
            <w:vAlign w:val="center"/>
          </w:tcPr>
          <w:p>
            <w:pPr>
              <w:pStyle w:val="TableText"/>
              <w:spacing w:after="0"/>
            </w:pPr>
            <w:r>
              <w:t>中</w:t>
            </w:r>
          </w:p>
        </w:tc>
        <w:tc>
          <w:tcPr>
            <w:tcW w:w="1560" w:type="dxa"/>
            <w:vAlign w:val="center"/>
          </w:tcPr>
          <w:p>
            <w:pPr>
              <w:pStyle w:val="TableText"/>
              <w:spacing w:after="0"/>
            </w:pPr>
            <w:r>
              <w:t>高</w:t>
            </w:r>
          </w:p>
        </w:tc>
        <w:tc>
          <w:tcPr>
            <w:tcW w:w="1560" w:type="dxa"/>
            <w:vAlign w:val="center"/>
          </w:tcPr>
          <w:p>
            <w:pPr>
              <w:pStyle w:val="TableText"/>
              <w:spacing w:after="0"/>
            </w:pPr>
            <w:r>
              <w:t>先定核心表，再扩展</w:t>
            </w:r>
          </w:p>
        </w:tc>
      </w:tr>
      <w:tr>
        <w:tc>
          <w:tcPr>
            <w:tcW w:w="1560" w:type="dxa"/>
            <w:vAlign w:val="center"/>
          </w:tcPr>
          <w:p>
            <w:pPr>
              <w:pStyle w:val="TableText"/>
              <w:spacing w:after="0"/>
            </w:pPr>
            <w:r>
              <w:t>4</w:t>
            </w:r>
          </w:p>
        </w:tc>
        <w:tc>
          <w:tcPr>
            <w:tcW w:w="1560" w:type="dxa"/>
            <w:vAlign w:val="center"/>
          </w:tcPr>
          <w:p>
            <w:pPr>
              <w:pStyle w:val="TableText"/>
              <w:spacing w:after="0"/>
            </w:pPr>
            <w:r>
              <w:t>联调时间不足</w:t>
            </w:r>
          </w:p>
        </w:tc>
        <w:tc>
          <w:tcPr>
            <w:tcW w:w="1560" w:type="dxa"/>
            <w:vAlign w:val="center"/>
          </w:tcPr>
          <w:p>
            <w:pPr>
              <w:pStyle w:val="TableText"/>
              <w:spacing w:after="0"/>
            </w:pPr>
            <w:r>
              <w:t>前后端和智能服务并行开发</w:t>
            </w:r>
          </w:p>
        </w:tc>
        <w:tc>
          <w:tcPr>
            <w:tcW w:w="1560" w:type="dxa"/>
            <w:vAlign w:val="center"/>
          </w:tcPr>
          <w:p>
            <w:pPr>
              <w:pStyle w:val="TableText"/>
              <w:spacing w:after="0"/>
            </w:pPr>
            <w:r>
              <w:t>高</w:t>
            </w:r>
          </w:p>
        </w:tc>
        <w:tc>
          <w:tcPr>
            <w:tcW w:w="1560" w:type="dxa"/>
            <w:vAlign w:val="center"/>
          </w:tcPr>
          <w:p>
            <w:pPr>
              <w:pStyle w:val="TableText"/>
              <w:spacing w:after="0"/>
            </w:pPr>
            <w:r>
              <w:t>中</w:t>
            </w:r>
          </w:p>
        </w:tc>
        <w:tc>
          <w:tcPr>
            <w:tcW w:w="1560" w:type="dxa"/>
            <w:vAlign w:val="center"/>
          </w:tcPr>
          <w:p>
            <w:pPr>
              <w:pStyle w:val="TableText"/>
              <w:spacing w:after="0"/>
            </w:pPr>
            <w:r>
              <w:t>提前约定接口与回归窗口</w:t>
            </w:r>
          </w:p>
        </w:tc>
      </w:tr>
      <w:tr>
        <w:tc>
          <w:tcPr>
            <w:tcW w:w="1560" w:type="dxa"/>
            <w:vAlign w:val="center"/>
          </w:tcPr>
          <w:p>
            <w:pPr>
              <w:pStyle w:val="TableText"/>
              <w:spacing w:after="0"/>
            </w:pPr>
            <w:r>
              <w:t>5</w:t>
            </w:r>
          </w:p>
        </w:tc>
        <w:tc>
          <w:tcPr>
            <w:tcW w:w="1560" w:type="dxa"/>
            <w:vAlign w:val="center"/>
          </w:tcPr>
          <w:p>
            <w:pPr>
              <w:pStyle w:val="TableText"/>
              <w:spacing w:after="0"/>
            </w:pPr>
            <w:r>
              <w:t>文档与实现不一致</w:t>
            </w:r>
          </w:p>
        </w:tc>
        <w:tc>
          <w:tcPr>
            <w:tcW w:w="1560" w:type="dxa"/>
            <w:vAlign w:val="center"/>
          </w:tcPr>
          <w:p>
            <w:pPr>
              <w:pStyle w:val="TableText"/>
              <w:spacing w:after="0"/>
            </w:pPr>
            <w:r>
              <w:t>代码改动未同步到报告</w:t>
            </w:r>
          </w:p>
        </w:tc>
        <w:tc>
          <w:tcPr>
            <w:tcW w:w="1560" w:type="dxa"/>
            <w:vAlign w:val="center"/>
          </w:tcPr>
          <w:p>
            <w:pPr>
              <w:pStyle w:val="TableText"/>
              <w:spacing w:after="0"/>
            </w:pPr>
            <w:r>
              <w:t>高</w:t>
            </w:r>
          </w:p>
        </w:tc>
        <w:tc>
          <w:tcPr>
            <w:tcW w:w="1560" w:type="dxa"/>
            <w:vAlign w:val="center"/>
          </w:tcPr>
          <w:p>
            <w:pPr>
              <w:pStyle w:val="TableText"/>
              <w:spacing w:after="0"/>
            </w:pPr>
            <w:r>
              <w:t>中</w:t>
            </w:r>
          </w:p>
        </w:tc>
        <w:tc>
          <w:tcPr>
            <w:tcW w:w="1560" w:type="dxa"/>
            <w:vAlign w:val="center"/>
          </w:tcPr>
          <w:p>
            <w:pPr>
              <w:pStyle w:val="TableText"/>
              <w:spacing w:after="0"/>
            </w:pPr>
            <w:r>
              <w:t>每次迭代同步更新文档</w:t>
            </w:r>
          </w:p>
        </w:tc>
      </w:tr>
      <w:tr>
        <w:tc>
          <w:tcPr>
            <w:tcW w:w="1560" w:type="dxa"/>
            <w:vAlign w:val="center"/>
          </w:tcPr>
          <w:p>
            <w:pPr>
              <w:pStyle w:val="TableText"/>
              <w:spacing w:after="0"/>
            </w:pPr>
            <w:r>
              <w:t>6</w:t>
            </w:r>
          </w:p>
        </w:tc>
        <w:tc>
          <w:tcPr>
            <w:tcW w:w="1560" w:type="dxa"/>
            <w:vAlign w:val="center"/>
          </w:tcPr>
          <w:p>
            <w:pPr>
              <w:pStyle w:val="TableText"/>
              <w:spacing w:after="0"/>
            </w:pPr>
            <w:r>
              <w:t>演示环境失败</w:t>
            </w:r>
          </w:p>
        </w:tc>
        <w:tc>
          <w:tcPr>
            <w:tcW w:w="1560" w:type="dxa"/>
            <w:vAlign w:val="center"/>
          </w:tcPr>
          <w:p>
            <w:pPr>
              <w:pStyle w:val="TableText"/>
              <w:spacing w:after="0"/>
            </w:pPr>
            <w:r>
              <w:t>浏览器、端口、数据库或依赖异常</w:t>
            </w:r>
          </w:p>
        </w:tc>
        <w:tc>
          <w:tcPr>
            <w:tcW w:w="1560" w:type="dxa"/>
            <w:vAlign w:val="center"/>
          </w:tcPr>
          <w:p>
            <w:pPr>
              <w:pStyle w:val="TableText"/>
              <w:spacing w:after="0"/>
            </w:pPr>
            <w:r>
              <w:t>中</w:t>
            </w:r>
          </w:p>
        </w:tc>
        <w:tc>
          <w:tcPr>
            <w:tcW w:w="1560" w:type="dxa"/>
            <w:vAlign w:val="center"/>
          </w:tcPr>
          <w:p>
            <w:pPr>
              <w:pStyle w:val="TableText"/>
              <w:spacing w:after="0"/>
            </w:pPr>
            <w:r>
              <w:t>高</w:t>
            </w:r>
          </w:p>
        </w:tc>
        <w:tc>
          <w:tcPr>
            <w:tcW w:w="1560" w:type="dxa"/>
            <w:vAlign w:val="center"/>
          </w:tcPr>
          <w:p>
            <w:pPr>
              <w:pStyle w:val="TableText"/>
              <w:spacing w:after="0"/>
            </w:pPr>
            <w:r>
              <w:t>保留最小可运行版本</w:t>
            </w:r>
          </w:p>
        </w:tc>
      </w:tr>
      <w:tr>
        <w:tc>
          <w:tcPr>
            <w:tcW w:w="1560" w:type="dxa"/>
            <w:vAlign w:val="center"/>
          </w:tcPr>
          <w:p>
            <w:pPr>
              <w:pStyle w:val="TableText"/>
              <w:spacing w:after="0"/>
            </w:pPr>
            <w:r>
              <w:t>7</w:t>
            </w:r>
          </w:p>
        </w:tc>
        <w:tc>
          <w:tcPr>
            <w:tcW w:w="1560" w:type="dxa"/>
            <w:vAlign w:val="center"/>
          </w:tcPr>
          <w:p>
            <w:pPr>
              <w:pStyle w:val="TableText"/>
              <w:spacing w:after="0"/>
            </w:pPr>
            <w:r>
              <w:t>测试覆盖不足</w:t>
            </w:r>
          </w:p>
        </w:tc>
        <w:tc>
          <w:tcPr>
            <w:tcW w:w="1560" w:type="dxa"/>
            <w:vAlign w:val="center"/>
          </w:tcPr>
          <w:p>
            <w:pPr>
              <w:pStyle w:val="TableText"/>
              <w:spacing w:after="0"/>
            </w:pPr>
            <w:r>
              <w:t>复杂路径未充分回归</w:t>
            </w:r>
          </w:p>
        </w:tc>
        <w:tc>
          <w:tcPr>
            <w:tcW w:w="1560" w:type="dxa"/>
            <w:vAlign w:val="center"/>
          </w:tcPr>
          <w:p>
            <w:pPr>
              <w:pStyle w:val="TableText"/>
              <w:spacing w:after="0"/>
            </w:pPr>
            <w:r>
              <w:t>中</w:t>
            </w:r>
          </w:p>
        </w:tc>
        <w:tc>
          <w:tcPr>
            <w:tcW w:w="1560" w:type="dxa"/>
            <w:vAlign w:val="center"/>
          </w:tcPr>
          <w:p>
            <w:pPr>
              <w:pStyle w:val="TableText"/>
              <w:spacing w:after="0"/>
            </w:pPr>
            <w:r>
              <w:t>高</w:t>
            </w:r>
          </w:p>
        </w:tc>
        <w:tc>
          <w:tcPr>
            <w:tcW w:w="1560" w:type="dxa"/>
            <w:vAlign w:val="center"/>
          </w:tcPr>
          <w:p>
            <w:pPr>
              <w:pStyle w:val="TableText"/>
              <w:spacing w:after="0"/>
            </w:pPr>
            <w:r>
              <w:t>先冒烟，再补边界测试</w:t>
            </w:r>
          </w:p>
        </w:tc>
      </w:tr>
      <w:tr>
        <w:tc>
          <w:tcPr>
            <w:tcW w:w="1560" w:type="dxa"/>
            <w:vAlign w:val="center"/>
          </w:tcPr>
          <w:p>
            <w:pPr>
              <w:pStyle w:val="TableText"/>
              <w:spacing w:after="0"/>
            </w:pPr>
            <w:r>
              <w:t>8</w:t>
            </w:r>
          </w:p>
        </w:tc>
        <w:tc>
          <w:tcPr>
            <w:tcW w:w="1560" w:type="dxa"/>
            <w:vAlign w:val="center"/>
          </w:tcPr>
          <w:p>
            <w:pPr>
              <w:pStyle w:val="TableText"/>
              <w:spacing w:after="0"/>
            </w:pPr>
            <w:r>
              <w:t>性能问题</w:t>
            </w:r>
          </w:p>
        </w:tc>
        <w:tc>
          <w:tcPr>
            <w:tcW w:w="1560" w:type="dxa"/>
            <w:vAlign w:val="center"/>
          </w:tcPr>
          <w:p>
            <w:pPr>
              <w:pStyle w:val="TableText"/>
              <w:spacing w:after="0"/>
            </w:pPr>
            <w:r>
              <w:t>大资料、长对话、图谱加载</w:t>
            </w:r>
          </w:p>
        </w:tc>
        <w:tc>
          <w:tcPr>
            <w:tcW w:w="1560" w:type="dxa"/>
            <w:vAlign w:val="center"/>
          </w:tcPr>
          <w:p>
            <w:pPr>
              <w:pStyle w:val="TableText"/>
              <w:spacing w:after="0"/>
            </w:pPr>
            <w:r>
              <w:t>中</w:t>
            </w:r>
          </w:p>
        </w:tc>
        <w:tc>
          <w:tcPr>
            <w:tcW w:w="1560" w:type="dxa"/>
            <w:vAlign w:val="center"/>
          </w:tcPr>
          <w:p>
            <w:pPr>
              <w:pStyle w:val="TableText"/>
              <w:spacing w:after="0"/>
            </w:pPr>
            <w:r>
              <w:t>中</w:t>
            </w:r>
          </w:p>
        </w:tc>
        <w:tc>
          <w:tcPr>
            <w:tcW w:w="1560" w:type="dxa"/>
            <w:vAlign w:val="center"/>
          </w:tcPr>
          <w:p>
            <w:pPr>
              <w:pStyle w:val="TableText"/>
              <w:spacing w:after="0"/>
            </w:pPr>
            <w:r>
              <w:t>做分页、限流和懒加载</w:t>
            </w:r>
          </w:p>
        </w:tc>
      </w:tr>
      <w:tr>
        <w:tc>
          <w:tcPr>
            <w:tcW w:w="1560" w:type="dxa"/>
            <w:vAlign w:val="center"/>
          </w:tcPr>
          <w:p>
            <w:pPr>
              <w:pStyle w:val="TableText"/>
              <w:spacing w:after="0"/>
            </w:pPr>
            <w:r>
              <w:t>9</w:t>
            </w:r>
          </w:p>
        </w:tc>
        <w:tc>
          <w:tcPr>
            <w:tcW w:w="1560" w:type="dxa"/>
            <w:vAlign w:val="center"/>
          </w:tcPr>
          <w:p>
            <w:pPr>
              <w:pStyle w:val="TableText"/>
              <w:spacing w:after="0"/>
            </w:pPr>
            <w:r>
              <w:t>安全问题</w:t>
            </w:r>
          </w:p>
        </w:tc>
        <w:tc>
          <w:tcPr>
            <w:tcW w:w="1560" w:type="dxa"/>
            <w:vAlign w:val="center"/>
          </w:tcPr>
          <w:p>
            <w:pPr>
              <w:pStyle w:val="TableText"/>
              <w:spacing w:after="0"/>
            </w:pPr>
            <w:r>
              <w:t>跨用户数据访问或权限缺失</w:t>
            </w:r>
          </w:p>
        </w:tc>
        <w:tc>
          <w:tcPr>
            <w:tcW w:w="1560" w:type="dxa"/>
            <w:vAlign w:val="center"/>
          </w:tcPr>
          <w:p>
            <w:pPr>
              <w:pStyle w:val="TableText"/>
              <w:spacing w:after="0"/>
            </w:pPr>
            <w:r>
              <w:t>低</w:t>
            </w:r>
          </w:p>
        </w:tc>
        <w:tc>
          <w:tcPr>
            <w:tcW w:w="1560" w:type="dxa"/>
            <w:vAlign w:val="center"/>
          </w:tcPr>
          <w:p>
            <w:pPr>
              <w:pStyle w:val="TableText"/>
              <w:spacing w:after="0"/>
            </w:pPr>
            <w:r>
              <w:t>高</w:t>
            </w:r>
          </w:p>
        </w:tc>
        <w:tc>
          <w:tcPr>
            <w:tcW w:w="1560" w:type="dxa"/>
            <w:vAlign w:val="center"/>
          </w:tcPr>
          <w:p>
            <w:pPr>
              <w:pStyle w:val="TableText"/>
              <w:spacing w:after="0"/>
            </w:pPr>
            <w:r>
              <w:t>统一认证、权限校验和隔离</w:t>
            </w:r>
          </w:p>
        </w:tc>
      </w:tr>
      <w:tr>
        <w:tc>
          <w:tcPr>
            <w:tcW w:w="1560" w:type="dxa"/>
            <w:vAlign w:val="center"/>
          </w:tcPr>
          <w:p>
            <w:pPr>
              <w:pStyle w:val="TableText"/>
              <w:spacing w:after="0"/>
            </w:pPr>
            <w:r>
              <w:t>10</w:t>
            </w:r>
          </w:p>
        </w:tc>
        <w:tc>
          <w:tcPr>
            <w:tcW w:w="1560" w:type="dxa"/>
            <w:vAlign w:val="center"/>
          </w:tcPr>
          <w:p>
            <w:pPr>
              <w:pStyle w:val="TableText"/>
              <w:spacing w:after="0"/>
            </w:pPr>
            <w:r>
              <w:t>时间压缩</w:t>
            </w:r>
          </w:p>
        </w:tc>
        <w:tc>
          <w:tcPr>
            <w:tcW w:w="1560" w:type="dxa"/>
            <w:vAlign w:val="center"/>
          </w:tcPr>
          <w:p>
            <w:pPr>
              <w:pStyle w:val="TableText"/>
              <w:spacing w:after="0"/>
            </w:pPr>
            <w:r>
              <w:t>课程提交节点临近</w:t>
            </w:r>
          </w:p>
        </w:tc>
        <w:tc>
          <w:tcPr>
            <w:tcW w:w="1560" w:type="dxa"/>
            <w:vAlign w:val="center"/>
          </w:tcPr>
          <w:p>
            <w:pPr>
              <w:pStyle w:val="TableText"/>
              <w:spacing w:after="0"/>
            </w:pPr>
            <w:r>
              <w:t>高</w:t>
            </w:r>
          </w:p>
        </w:tc>
        <w:tc>
          <w:tcPr>
            <w:tcW w:w="1560" w:type="dxa"/>
            <w:vAlign w:val="center"/>
          </w:tcPr>
          <w:p>
            <w:pPr>
              <w:pStyle w:val="TableText"/>
              <w:spacing w:after="0"/>
            </w:pPr>
            <w:r>
              <w:t>高</w:t>
            </w:r>
          </w:p>
        </w:tc>
        <w:tc>
          <w:tcPr>
            <w:tcW w:w="1560" w:type="dxa"/>
            <w:vAlign w:val="center"/>
          </w:tcPr>
          <w:p>
            <w:pPr>
              <w:pStyle w:val="TableText"/>
              <w:spacing w:after="0"/>
            </w:pPr>
            <w:r>
              <w:t>提前冻结非核心功能</w:t>
            </w:r>
          </w:p>
        </w:tc>
      </w:tr>
    </w:tbl>
    <w:p>
      <w:pPr>
        <w:pStyle w:val="BodyText"/>
        <w:spacing w:after="80"/>
      </w:pPr>
    </w:p>
    <w:p>
      <w:pPr>
        <w:pStyle w:val="BodyText"/>
      </w:pPr>
      <w:r>
        <w:t>以上十大风险覆盖项目当前阶段的主要不确定性。其中需求蔓延、时间压缩和文档不一致属于管理类风险，主要通过范围冻结、阶段检查和报告校对控制；智能服务不可用、数据结构反复修改和性能问题属于技术类风险，主要通过降级方案、核心表稳定和性能优化控制；演示环境失败、安全问题和测试覆盖不足属于交付类风险，主要通过环境检查、权限校验和回归测试控制。</w:t>
      </w:r>
    </w:p>
    <w:p>
      <w:pPr>
        <w:pStyle w:val="BodyText"/>
      </w:pPr>
      <w:r>
        <w:t>从业务视角看，风险影响最大的不是单个页面报错，而是核心学习链路断裂。例如资料库无法索引会导致 AI 问答和知识图谱缺少依据；Workbench 状态无法恢复会导致学习现场无法持续使用；Agentic 写操作审批不清会影响用户信任；学习画像缺少事件和记忆依据会使个性化建议变得空泛。因此风险管理要围绕链路完整性进行排序。</w:t>
      </w:r>
    </w:p>
    <w:p>
      <w:pPr>
        <w:pStyle w:val="Heading2"/>
        <w:keepNext/>
      </w:pPr>
      <w:r>
        <w:t>三、风险分析要点</w:t>
      </w:r>
    </w:p>
    <w:p>
      <w:pPr>
        <w:pStyle w:val="BodyText"/>
      </w:pPr>
      <w:r>
        <w:t>每个风险都应从以下角度分析：</w:t>
      </w:r>
    </w:p>
    <w:p>
      <w:pPr>
        <w:pStyle w:val="BodyText"/>
        <w:numPr>
          <w:ilvl w:val="0"/>
          <w:numId w:val="1"/>
        </w:numPr>
      </w:pPr>
      <w:r>
        <w:t>风险来源。</w:t>
      </w:r>
    </w:p>
    <w:p>
      <w:pPr>
        <w:pStyle w:val="BodyText"/>
        <w:numPr>
          <w:ilvl w:val="0"/>
          <w:numId w:val="1"/>
        </w:numPr>
      </w:pPr>
      <w:r>
        <w:t>风险发生条件。</w:t>
      </w:r>
    </w:p>
    <w:p>
      <w:pPr>
        <w:pStyle w:val="BodyText"/>
        <w:numPr>
          <w:ilvl w:val="0"/>
          <w:numId w:val="1"/>
        </w:numPr>
      </w:pPr>
      <w:r>
        <w:t>风险特征。</w:t>
      </w:r>
    </w:p>
    <w:p>
      <w:pPr>
        <w:pStyle w:val="BodyText"/>
        <w:numPr>
          <w:ilvl w:val="0"/>
          <w:numId w:val="1"/>
        </w:numPr>
      </w:pPr>
      <w:r>
        <w:t>风险发生可能性。</w:t>
      </w:r>
    </w:p>
    <w:p>
      <w:pPr>
        <w:pStyle w:val="BodyText"/>
        <w:numPr>
          <w:ilvl w:val="0"/>
          <w:numId w:val="1"/>
        </w:numPr>
      </w:pPr>
      <w:r>
        <w:t>对项目目标的影响。</w:t>
      </w:r>
    </w:p>
    <w:p>
      <w:pPr>
        <w:pStyle w:val="BodyText"/>
        <w:numPr>
          <w:ilvl w:val="0"/>
          <w:numId w:val="1"/>
        </w:numPr>
      </w:pPr>
      <w:r>
        <w:t>应对措施。</w:t>
      </w:r>
    </w:p>
    <w:p>
      <w:pPr>
        <w:pStyle w:val="BodyText"/>
        <w:numPr>
          <w:ilvl w:val="0"/>
          <w:numId w:val="1"/>
        </w:numPr>
      </w:pPr>
      <w:r>
        <w:t>监控方法。</w:t>
      </w:r>
    </w:p>
    <w:p>
      <w:pPr>
        <w:pStyle w:val="BodyText"/>
        <w:numPr>
          <w:ilvl w:val="0"/>
          <w:numId w:val="1"/>
        </w:numPr>
      </w:pPr>
      <w:r>
        <w:t>应急响应。</w:t>
      </w:r>
    </w:p>
    <w:p>
      <w:pPr>
        <w:pStyle w:val="BodyText"/>
        <w:numPr>
          <w:ilvl w:val="0"/>
          <w:numId w:val="1"/>
        </w:numPr>
      </w:pPr>
      <w:r>
        <w:t>责任分配。</w:t>
      </w:r>
    </w:p>
    <w:p>
      <w:pPr>
        <w:pStyle w:val="BodyText"/>
      </w:pPr>
      <w:r>
        <w:t>例如，“智能服务不可用”风险的来源是外部模型、检索或分析接口不完全受团队控制，发生条件可能是网络异常、额度不足、接口超时或返回格式变化，影响是 AI Terminal、知识图谱或多模态分析无法实时展示。对应措施包括缓存结果、本地样例数据、静态截图和降级说明。责任人主要是全栈开发和运维测试。</w:t>
      </w:r>
    </w:p>
    <w:p>
      <w:pPr>
        <w:pStyle w:val="BodyText"/>
      </w:pPr>
      <w:r>
        <w:t>再如，“文档与实现不一致”风险的来源是代码迭代快、报告数量多、课程和竞赛材料并行推进。发生条件可能是功能修改后未同步报告，或报告中仍使用旧的团队人数、成本口径和数据库方案。处理措施是统一项目名称、模块清单、时间线、3 人分工、Codex 成本和阿里云数据库表述。</w:t>
      </w:r>
    </w:p>
    <w:p>
      <w:pPr>
        <w:pStyle w:val="Heading2"/>
        <w:keepNext/>
      </w:pPr>
      <w:r>
        <w:t>四、风险排序与重点监控</w:t>
      </w:r>
    </w:p>
    <w:p>
      <w:pPr>
        <w:pStyle w:val="BodyText"/>
      </w:pPr>
      <w:r>
        <w:t>本项目最需要重点监控的风险是：</w:t>
      </w:r>
    </w:p>
    <w:p>
      <w:pPr>
        <w:pStyle w:val="BodyText"/>
        <w:numPr>
          <w:ilvl w:val="0"/>
          <w:numId w:val="2"/>
        </w:numPr>
      </w:pPr>
      <w:r>
        <w:t>需求蔓延。</w:t>
      </w:r>
    </w:p>
    <w:p>
      <w:pPr>
        <w:pStyle w:val="BodyText"/>
        <w:numPr>
          <w:ilvl w:val="0"/>
          <w:numId w:val="2"/>
        </w:numPr>
      </w:pPr>
      <w:r>
        <w:t>时间压缩。</w:t>
      </w:r>
    </w:p>
    <w:p>
      <w:pPr>
        <w:pStyle w:val="BodyText"/>
        <w:numPr>
          <w:ilvl w:val="0"/>
          <w:numId w:val="2"/>
        </w:numPr>
      </w:pPr>
      <w:r>
        <w:t>智能服务不可用。</w:t>
      </w:r>
    </w:p>
    <w:p>
      <w:pPr>
        <w:pStyle w:val="BodyText"/>
        <w:numPr>
          <w:ilvl w:val="0"/>
          <w:numId w:val="2"/>
        </w:numPr>
      </w:pPr>
      <w:r>
        <w:t>文档与实现不一致。</w:t>
      </w:r>
    </w:p>
    <w:p>
      <w:pPr>
        <w:pStyle w:val="BodyText"/>
        <w:numPr>
          <w:ilvl w:val="0"/>
          <w:numId w:val="2"/>
        </w:numPr>
      </w:pPr>
      <w:r>
        <w:t>演示环境失败。</w:t>
      </w:r>
    </w:p>
    <w:p>
      <w:pPr>
        <w:pStyle w:val="BodyText"/>
      </w:pPr>
      <w:r>
        <w:t>其中前 3 类风险会直接影响课程提交质量，必须优先控制。</w:t>
      </w:r>
    </w:p>
    <w:p>
      <w:pPr>
        <w:pStyle w:val="BodyText"/>
      </w:pPr>
      <w:r>
        <w:t>重点监控顺序反映了当前阶段的主要矛盾。越接近提交节点，时间压缩和演示环境失败的影响越大；在文档集中整理阶段，报告不一致的风险会快速上升；在智能能力展示阶段，外部模型和数据库服务的稳定性会影响演示效果。因此风险排序不是固定不变的，应随着项目阶段调整。</w:t>
      </w:r>
    </w:p>
    <w:p>
      <w:pPr>
        <w:pStyle w:val="Heading2"/>
        <w:keepNext/>
      </w:pPr>
      <w:r>
        <w:t>五、风险处理状态</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风险项</w:t>
            </w:r>
          </w:p>
        </w:tc>
        <w:tc>
          <w:tcPr>
            <w:tcW w:w="6760" w:type="dxa"/>
            <w:shd w:fill="F2F4F7"/>
            <w:vAlign w:val="center"/>
          </w:tcPr>
          <w:p>
            <w:pPr>
              <w:pStyle w:val="TableText"/>
              <w:spacing w:after="0"/>
            </w:pPr>
            <w:r>
              <w:rPr>
                <w:b/>
              </w:rPr>
              <w:t>当前处理状态</w:t>
            </w:r>
          </w:p>
        </w:tc>
      </w:tr>
      <w:tr>
        <w:tc>
          <w:tcPr>
            <w:tcW w:w="2600" w:type="dxa"/>
            <w:vAlign w:val="center"/>
          </w:tcPr>
          <w:p>
            <w:pPr>
              <w:pStyle w:val="TableText"/>
              <w:spacing w:after="0"/>
            </w:pPr>
            <w:r>
              <w:t>需求蔓延</w:t>
            </w:r>
          </w:p>
        </w:tc>
        <w:tc>
          <w:tcPr>
            <w:tcW w:w="6760" w:type="dxa"/>
            <w:vAlign w:val="center"/>
          </w:tcPr>
          <w:p>
            <w:pPr>
              <w:pStyle w:val="TableText"/>
              <w:spacing w:after="0"/>
            </w:pPr>
            <w:r>
              <w:t>已通过课程报告范围和模块清单进行约束</w:t>
            </w:r>
          </w:p>
        </w:tc>
      </w:tr>
      <w:tr>
        <w:tc>
          <w:tcPr>
            <w:tcW w:w="2600" w:type="dxa"/>
            <w:vAlign w:val="center"/>
          </w:tcPr>
          <w:p>
            <w:pPr>
              <w:pStyle w:val="TableText"/>
              <w:spacing w:after="0"/>
            </w:pPr>
            <w:r>
              <w:t>时间压缩</w:t>
            </w:r>
          </w:p>
        </w:tc>
        <w:tc>
          <w:tcPr>
            <w:tcW w:w="6760" w:type="dxa"/>
            <w:vAlign w:val="center"/>
          </w:tcPr>
          <w:p>
            <w:pPr>
              <w:pStyle w:val="TableText"/>
              <w:spacing w:after="0"/>
            </w:pPr>
            <w:r>
              <w:t>已将 2026-06-17 设为提交基准并安排收尾期</w:t>
            </w:r>
          </w:p>
        </w:tc>
      </w:tr>
      <w:tr>
        <w:tc>
          <w:tcPr>
            <w:tcW w:w="2600" w:type="dxa"/>
            <w:vAlign w:val="center"/>
          </w:tcPr>
          <w:p>
            <w:pPr>
              <w:pStyle w:val="TableText"/>
              <w:spacing w:after="0"/>
            </w:pPr>
            <w:r>
              <w:t>智能服务不可用</w:t>
            </w:r>
          </w:p>
        </w:tc>
        <w:tc>
          <w:tcPr>
            <w:tcW w:w="6760" w:type="dxa"/>
            <w:vAlign w:val="center"/>
          </w:tcPr>
          <w:p>
            <w:pPr>
              <w:pStyle w:val="TableText"/>
              <w:spacing w:after="0"/>
            </w:pPr>
            <w:r>
              <w:t>建议保留静态演示和降级说明</w:t>
            </w:r>
          </w:p>
        </w:tc>
      </w:tr>
      <w:tr>
        <w:tc>
          <w:tcPr>
            <w:tcW w:w="2600" w:type="dxa"/>
            <w:vAlign w:val="center"/>
          </w:tcPr>
          <w:p>
            <w:pPr>
              <w:pStyle w:val="TableText"/>
              <w:spacing w:after="0"/>
            </w:pPr>
            <w:r>
              <w:t>文档与实现不一致</w:t>
            </w:r>
          </w:p>
        </w:tc>
        <w:tc>
          <w:tcPr>
            <w:tcW w:w="6760" w:type="dxa"/>
            <w:vAlign w:val="center"/>
          </w:tcPr>
          <w:p>
            <w:pPr>
              <w:pStyle w:val="TableText"/>
              <w:spacing w:after="0"/>
            </w:pPr>
            <w:r>
              <w:t>已统一采用当前项目功能说明和需求分析作为依据</w:t>
            </w:r>
          </w:p>
        </w:tc>
      </w:tr>
      <w:tr>
        <w:tc>
          <w:tcPr>
            <w:tcW w:w="2600" w:type="dxa"/>
            <w:vAlign w:val="center"/>
          </w:tcPr>
          <w:p>
            <w:pPr>
              <w:pStyle w:val="TableText"/>
              <w:spacing w:after="0"/>
            </w:pPr>
            <w:r>
              <w:t>演示环境失败</w:t>
            </w:r>
          </w:p>
        </w:tc>
        <w:tc>
          <w:tcPr>
            <w:tcW w:w="6760" w:type="dxa"/>
            <w:vAlign w:val="center"/>
          </w:tcPr>
          <w:p>
            <w:pPr>
              <w:pStyle w:val="TableText"/>
              <w:spacing w:after="0"/>
            </w:pPr>
            <w:r>
              <w:t>建议准备本地最小运行环境和备用截图</w:t>
            </w:r>
          </w:p>
        </w:tc>
      </w:tr>
    </w:tbl>
    <w:p>
      <w:pPr>
        <w:pStyle w:val="BodyText"/>
        <w:spacing w:after="80"/>
      </w:pPr>
    </w:p>
    <w:p>
      <w:pPr>
        <w:pStyle w:val="BodyText"/>
      </w:pPr>
      <w:r>
        <w:t>补充处理状态如下：</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风险项</w:t>
            </w:r>
          </w:p>
        </w:tc>
        <w:tc>
          <w:tcPr>
            <w:tcW w:w="6760" w:type="dxa"/>
            <w:shd w:fill="F2F4F7"/>
            <w:vAlign w:val="center"/>
          </w:tcPr>
          <w:p>
            <w:pPr>
              <w:pStyle w:val="TableText"/>
              <w:spacing w:after="0"/>
            </w:pPr>
            <w:r>
              <w:rPr>
                <w:b/>
              </w:rPr>
              <w:t>当前处理状态</w:t>
            </w:r>
          </w:p>
        </w:tc>
      </w:tr>
      <w:tr>
        <w:tc>
          <w:tcPr>
            <w:tcW w:w="2600" w:type="dxa"/>
            <w:vAlign w:val="center"/>
          </w:tcPr>
          <w:p>
            <w:pPr>
              <w:pStyle w:val="TableText"/>
              <w:spacing w:after="0"/>
            </w:pPr>
            <w:r>
              <w:t>Codex 生成内容错误</w:t>
            </w:r>
          </w:p>
        </w:tc>
        <w:tc>
          <w:tcPr>
            <w:tcW w:w="6760" w:type="dxa"/>
            <w:vAlign w:val="center"/>
          </w:tcPr>
          <w:p>
            <w:pPr>
              <w:pStyle w:val="TableText"/>
              <w:spacing w:after="0"/>
            </w:pPr>
            <w:r>
              <w:t>已要求代码和文档均进行人工复核</w:t>
            </w:r>
          </w:p>
        </w:tc>
      </w:tr>
      <w:tr>
        <w:tc>
          <w:tcPr>
            <w:tcW w:w="2600" w:type="dxa"/>
            <w:vAlign w:val="center"/>
          </w:tcPr>
          <w:p>
            <w:pPr>
              <w:pStyle w:val="TableText"/>
              <w:spacing w:after="0"/>
            </w:pPr>
            <w:r>
              <w:t>阿里云数据库异常</w:t>
            </w:r>
          </w:p>
        </w:tc>
        <w:tc>
          <w:tcPr>
            <w:tcW w:w="6760" w:type="dxa"/>
            <w:vAlign w:val="center"/>
          </w:tcPr>
          <w:p>
            <w:pPr>
              <w:pStyle w:val="TableText"/>
              <w:spacing w:after="0"/>
            </w:pPr>
            <w:r>
              <w:t>已在计划中要求保留本地备用环境和连接检查</w:t>
            </w:r>
          </w:p>
        </w:tc>
      </w:tr>
      <w:tr>
        <w:tc>
          <w:tcPr>
            <w:tcW w:w="2600" w:type="dxa"/>
            <w:vAlign w:val="center"/>
          </w:tcPr>
          <w:p>
            <w:pPr>
              <w:pStyle w:val="TableText"/>
              <w:spacing w:after="0"/>
            </w:pPr>
            <w:r>
              <w:t>关键人员时间不足</w:t>
            </w:r>
          </w:p>
        </w:tc>
        <w:tc>
          <w:tcPr>
            <w:tcW w:w="6760" w:type="dxa"/>
            <w:vAlign w:val="center"/>
          </w:tcPr>
          <w:p>
            <w:pPr>
              <w:pStyle w:val="TableText"/>
              <w:spacing w:after="0"/>
            </w:pPr>
            <w:r>
              <w:t>已通过冻结增强项和明确核心闭环降低影响</w:t>
            </w:r>
          </w:p>
        </w:tc>
      </w:tr>
      <w:tr>
        <w:tc>
          <w:tcPr>
            <w:tcW w:w="2600" w:type="dxa"/>
            <w:vAlign w:val="center"/>
          </w:tcPr>
          <w:p>
            <w:pPr>
              <w:pStyle w:val="TableText"/>
              <w:spacing w:after="0"/>
            </w:pPr>
            <w:r>
              <w:t>现金成本超支</w:t>
            </w:r>
          </w:p>
        </w:tc>
        <w:tc>
          <w:tcPr>
            <w:tcW w:w="6760" w:type="dxa"/>
            <w:vAlign w:val="center"/>
          </w:tcPr>
          <w:p>
            <w:pPr>
              <w:pStyle w:val="TableText"/>
              <w:spacing w:after="0"/>
            </w:pPr>
            <w:r>
              <w:t>已将真实现金支出控制目标设为 1500 元以内</w:t>
            </w:r>
          </w:p>
        </w:tc>
      </w:tr>
    </w:tbl>
    <w:p>
      <w:pPr>
        <w:pStyle w:val="BodyText"/>
        <w:spacing w:after="80"/>
      </w:pPr>
    </w:p>
    <w:p>
      <w:pPr>
        <w:pStyle w:val="BodyText"/>
      </w:pPr>
      <w:r>
        <w:t>从处理状态看，多数风险已经有预防或应对措施，但仍需要在提交前进行最终检查。特别是演示环境、数据库连接、报告一致性和智能能力降级路径，应作为最终风险复核重点。</w:t>
      </w:r>
    </w:p>
    <w:p>
      <w:pPr>
        <w:pStyle w:val="Heading2"/>
        <w:keepNext/>
      </w:pPr>
      <w:r>
        <w:t>六、风险监控机制</w:t>
      </w:r>
    </w:p>
    <w:p>
      <w:pPr>
        <w:pStyle w:val="BodyText"/>
        <w:numPr>
          <w:ilvl w:val="0"/>
          <w:numId w:val="1"/>
        </w:numPr>
      </w:pPr>
      <w:r>
        <w:t>每周检查风险状态。</w:t>
      </w:r>
    </w:p>
    <w:p>
      <w:pPr>
        <w:pStyle w:val="BodyText"/>
        <w:numPr>
          <w:ilvl w:val="0"/>
          <w:numId w:val="1"/>
        </w:numPr>
      </w:pPr>
      <w:r>
        <w:t>每次里程碑检查时更新风险等级。</w:t>
      </w:r>
    </w:p>
    <w:p>
      <w:pPr>
        <w:pStyle w:val="BodyText"/>
        <w:numPr>
          <w:ilvl w:val="0"/>
          <w:numId w:val="1"/>
        </w:numPr>
      </w:pPr>
      <w:r>
        <w:t>一旦触发标志出现，立即执行应对方案。</w:t>
      </w:r>
    </w:p>
    <w:p>
      <w:pPr>
        <w:pStyle w:val="BodyText"/>
        <w:numPr>
          <w:ilvl w:val="0"/>
          <w:numId w:val="1"/>
        </w:numPr>
      </w:pPr>
      <w:r>
        <w:t>高风险项要写清责任人和截止时间。</w:t>
      </w:r>
    </w:p>
    <w:p>
      <w:pPr>
        <w:pStyle w:val="BodyText"/>
      </w:pPr>
      <w:r>
        <w:t>风险监控建议采用轻量记录方式，不追求复杂工具。每次阶段检查时，团队应判断风险等级是否变化、应对措施是否已经执行、是否产生新的风险。例如，若迁移阿里云数据库后本地和云端数据结构不一致，就应新增环境同步风险；若报告扩写后成本口径出现冲突，就应更新文档一致性风险。</w:t>
      </w:r>
    </w:p>
    <w:p>
      <w:pPr>
        <w:pStyle w:val="Heading2"/>
        <w:keepNext/>
      </w:pPr>
      <w:r>
        <w:t>七、应急响应</w:t>
      </w:r>
    </w:p>
    <w:p>
      <w:pPr>
        <w:pStyle w:val="BodyText"/>
      </w:pPr>
      <w:r>
        <w:t>如果风险已经开始转化，建议按以下顺序处理：</w:t>
      </w:r>
    </w:p>
    <w:p>
      <w:pPr>
        <w:pStyle w:val="BodyText"/>
        <w:numPr>
          <w:ilvl w:val="0"/>
          <w:numId w:val="2"/>
        </w:numPr>
      </w:pPr>
      <w:r>
        <w:t>先保留可运行版本。</w:t>
      </w:r>
    </w:p>
    <w:p>
      <w:pPr>
        <w:pStyle w:val="BodyText"/>
        <w:numPr>
          <w:ilvl w:val="0"/>
          <w:numId w:val="2"/>
        </w:numPr>
      </w:pPr>
      <w:r>
        <w:t>先保演示链路。</w:t>
      </w:r>
    </w:p>
    <w:p>
      <w:pPr>
        <w:pStyle w:val="BodyText"/>
        <w:numPr>
          <w:ilvl w:val="0"/>
          <w:numId w:val="2"/>
        </w:numPr>
      </w:pPr>
      <w:r>
        <w:t>先保课程报告与项目口径一致。</w:t>
      </w:r>
    </w:p>
    <w:p>
      <w:pPr>
        <w:pStyle w:val="BodyText"/>
        <w:numPr>
          <w:ilvl w:val="0"/>
          <w:numId w:val="2"/>
        </w:numPr>
      </w:pPr>
      <w:r>
        <w:t>再处理增强项和美化项。</w:t>
      </w:r>
    </w:p>
    <w:p>
      <w:pPr>
        <w:pStyle w:val="BodyText"/>
      </w:pPr>
      <w:r>
        <w:t>具体应急策略包括：智能服务异常时使用缓存结果或静态演示；云数据库异常时切换本地数据库或备用数据；页面或接口不稳定时回退到可运行版本；文档不一致时优先修正项目名称、团队分工、成本数字和时间节点；人员时间不足时冻结非核心功能，把剩余时间投入测试和材料整理。</w:t>
      </w:r>
    </w:p>
    <w:p>
      <w:pPr>
        <w:pStyle w:val="BodyText"/>
      </w:pPr>
      <w:r>
        <w:t>应急响应后还要进行复盘，记录风险触发原因、处理动作、是否影响进度和是否需要修改后续计划。这样风险管理报告才能反映真实管理过程，而不只是事后列清单。</w:t>
      </w:r>
    </w:p>
    <w:p>
      <w:pPr>
        <w:pStyle w:val="BodyText"/>
      </w:pPr>
      <w:r>
        <w:t>按业务模块划分，应急优先级为：第一，保证登录、Workspace 切换、资料查看和 Workbench 打开；第二，保证至少一种资料到 AI 问答或学习计划的智能链路可展示；第三，保证 AI Studio 或闪卡等生成物可以作为增强项展示；第四，再展示多模态分析、复杂 Agent V2 或高级可视化。这样的排序能确保即使部分高级能力失败，产品核心价值仍然可见。</w:t>
      </w:r>
    </w:p>
    <w:p>
      <w:pPr>
        <w:pStyle w:val="Heading2"/>
        <w:keepNext/>
      </w:pPr>
      <w:r>
        <w:t>八、经验与教训</w:t>
      </w:r>
    </w:p>
    <w:p>
      <w:pPr>
        <w:pStyle w:val="BodyText"/>
        <w:numPr>
          <w:ilvl w:val="0"/>
          <w:numId w:val="1"/>
        </w:numPr>
      </w:pPr>
      <w:r>
        <w:t>经验：风险要早识别，不要等到出问题后再补表。</w:t>
      </w:r>
    </w:p>
    <w:p>
      <w:pPr>
        <w:pStyle w:val="BodyText"/>
        <w:numPr>
          <w:ilvl w:val="0"/>
          <w:numId w:val="1"/>
        </w:numPr>
      </w:pPr>
      <w:r>
        <w:t>经验：风险管理要和进度、质量联动。</w:t>
      </w:r>
    </w:p>
    <w:p>
      <w:pPr>
        <w:pStyle w:val="BodyText"/>
        <w:numPr>
          <w:ilvl w:val="0"/>
          <w:numId w:val="1"/>
        </w:numPr>
      </w:pPr>
      <w:r>
        <w:t>教训：智能项目的最大风险往往不是技术本身，而是集成与时间。</w:t>
      </w:r>
    </w:p>
    <w:p>
      <w:pPr>
        <w:pStyle w:val="BodyText"/>
        <w:numPr>
          <w:ilvl w:val="0"/>
          <w:numId w:val="1"/>
        </w:numPr>
      </w:pPr>
      <w:r>
        <w:t>教训：越接近提交，越要减少新增内容。</w:t>
      </w:r>
    </w:p>
    <w:p>
      <w:pPr>
        <w:pStyle w:val="BodyText"/>
        <w:numPr>
          <w:ilvl w:val="0"/>
          <w:numId w:val="1"/>
        </w:numPr>
      </w:pPr>
      <w:r>
        <w:t>经验：把风险与进度、成本、质量报告联动，管理口径更稳定。</w:t>
      </w:r>
    </w:p>
    <w:p>
      <w:pPr>
        <w:pStyle w:val="BodyText"/>
        <w:numPr>
          <w:ilvl w:val="0"/>
          <w:numId w:val="1"/>
        </w:numPr>
      </w:pPr>
      <w:r>
        <w:t>经验：对外部服务和云数据库提前准备备用方案，能显著降低演示压力。</w:t>
      </w:r>
    </w:p>
    <w:p>
      <w:pPr>
        <w:pStyle w:val="BodyText"/>
        <w:numPr>
          <w:ilvl w:val="0"/>
          <w:numId w:val="1"/>
        </w:numPr>
      </w:pPr>
      <w:r>
        <w:t>教训：AI 辅助生成内容如果不复核，可能把小错误扩散到代码和文档中。</w:t>
      </w:r>
    </w:p>
    <w:p>
      <w:pPr>
        <w:pStyle w:val="BodyText"/>
      </w:pPr>
      <w:r>
        <w:t>总体来看，本项目风险处于可控状态。后续管理重点是守住核心演示链路，保证 11 份报告一致，控制真实现金支出，并在提交前完成环境和数据库检查。只要不继续扩大范围，主要风险不会影响课程交付。</w:t>
      </w:r>
    </w:p>
    <w:p>
      <w:pPr>
        <w:pStyle w:val="Heading1"/>
        <w:pageBreakBefore/>
        <w:keepNext/>
      </w:pPr>
      <w:r>
        <w:t>11 项目总结报告</w:t>
      </w:r>
    </w:p>
    <w:p>
      <w:pPr>
        <w:pStyle w:val="Heading2"/>
        <w:keepNext/>
      </w:pPr>
      <w:r>
        <w:t>一、项目整体信息回顾</w:t>
      </w:r>
    </w:p>
    <w:p>
      <w:pPr>
        <w:pStyle w:val="BodyText"/>
      </w:pPr>
      <w:r>
        <w:t>本项目以“AI Learning Workspace / 大学生智能学习辅助平台”为核心对象，围绕高校学习过程构建课程空间、学习现场、资料库、知识图谱、AI Terminal、学习规划、学习画像、AI Studio、闪卡复习和多模态分析等能力。项目既服务于软件杯比赛，也适合作为软件项目管理课程作业的完整案例。</w:t>
      </w:r>
    </w:p>
    <w:p>
      <w:pPr>
        <w:pStyle w:val="BodyText"/>
      </w:pPr>
      <w:r>
        <w:t>项目来源于第十五届中国软件杯 A 组赛题“A3-基于大模型的个性化资源生成与学习多智能体系统开发”。在课程报告整理过程中，团队将真实开发内容转化为软件项目管理案例，围绕项目建议、可行性、资源、进度、成本、风险、质量、估算和总结形成完整文档链条。项目既体现了大模型辅助学习系统的技术特点，也体现了课程项目在范围控制、资源安排和交付管理方面的要求。</w:t>
      </w:r>
    </w:p>
    <w:p>
      <w:pPr>
        <w:pStyle w:val="BodyText"/>
      </w:pPr>
      <w:r>
        <w:t>团队实际采用 3 人协作方式：一人负责全栈开发，一人负责运维维护、测试和演示稳定性，一人负责需求分析、开源项目调研、论文资料和高层次技术方向指导。项目开发过程中使用 Codex 类 AI 辅助开发工具提高效率，并将数据库方案从本地 SQLite 逐步迁移到阿里云数据库，以支撑更稳定的部署和演示。</w:t>
      </w:r>
    </w:p>
    <w:p>
      <w:pPr>
        <w:pStyle w:val="Heading2"/>
        <w:keepNext/>
      </w:pPr>
      <w:r>
        <w:t>二、阶段性成果</w:t>
      </w:r>
    </w:p>
    <w:p>
      <w:pPr>
        <w:pStyle w:val="BodyText"/>
        <w:numPr>
          <w:ilvl w:val="0"/>
          <w:numId w:val="1"/>
        </w:numPr>
      </w:pPr>
      <w:r>
        <w:t>已形成较清晰的产品定位和系统功能框架。</w:t>
      </w:r>
    </w:p>
    <w:p>
      <w:pPr>
        <w:pStyle w:val="BodyText"/>
        <w:numPr>
          <w:ilvl w:val="0"/>
          <w:numId w:val="1"/>
        </w:numPr>
      </w:pPr>
      <w:r>
        <w:t>已完成背景、需求、设计和课程报告依据整理。</w:t>
      </w:r>
    </w:p>
    <w:p>
      <w:pPr>
        <w:pStyle w:val="BodyText"/>
        <w:numPr>
          <w:ilvl w:val="0"/>
          <w:numId w:val="1"/>
        </w:numPr>
      </w:pPr>
      <w:r>
        <w:t>已具备前后端、数据库和智能能力的统一工程口径。</w:t>
      </w:r>
    </w:p>
    <w:p>
      <w:pPr>
        <w:pStyle w:val="BodyText"/>
        <w:numPr>
          <w:ilvl w:val="0"/>
          <w:numId w:val="1"/>
        </w:numPr>
      </w:pPr>
      <w:r>
        <w:t>已能把课程项目管理的 11 类文档和真实项目联系起来。</w:t>
      </w:r>
    </w:p>
    <w:p>
      <w:pPr>
        <w:pStyle w:val="BodyText"/>
        <w:numPr>
          <w:ilvl w:val="0"/>
          <w:numId w:val="1"/>
        </w:numPr>
      </w:pPr>
      <w:r>
        <w:t>已明确课程估算成本与真实现金支出两个口径，实际现金支出控制目标为 1500 元以内。</w:t>
      </w:r>
    </w:p>
    <w:p>
      <w:pPr>
        <w:pStyle w:val="BodyText"/>
        <w:numPr>
          <w:ilvl w:val="0"/>
          <w:numId w:val="1"/>
        </w:numPr>
      </w:pPr>
      <w:r>
        <w:t>已将 Codex 辅助开发、阿里云数据库部署和智能服务降级纳入风险与质量管理。</w:t>
      </w:r>
    </w:p>
    <w:p>
      <w:pPr>
        <w:pStyle w:val="BodyText"/>
      </w:pPr>
      <w:r>
        <w:t>从项目产物看，当前成果不仅包括代码和功能页面，还包括项目背景、需求分析、系统功能说明、课程报告、风险清单、质量目标和答辩准备材料。这些产物共同构成项目交付，而不是彼此孤立。相比单纯完成功能，本项目更强调“功能、文档、演示、管理过程”四者一致。</w:t>
      </w:r>
    </w:p>
    <w:p>
      <w:pPr>
        <w:pStyle w:val="BodyText"/>
      </w:pPr>
      <w:r>
        <w:t>从业务实现看，项目已经形成了较清楚的学习工作流：Workspace 负责长期课程空间，Workbench 负责具体学习任务，资料库负责保存上传文件、网页来源、笔记和生成物，AI Terminal 负责课程级对话和智能执行，知识索引与知识图谱负责把资料转化为结构化知识，Planning 和 Profile 负责学习计划与个性化反馈，AI Studio 和闪卡负责把资料进一步转化为练习和复习资源。这个工作流是项目总结中最重要的产品成果。</w:t>
      </w:r>
    </w:p>
    <w:p>
      <w:pPr>
        <w:pStyle w:val="Heading2"/>
        <w:keepNext/>
      </w:pPr>
      <w:r>
        <w:t>三、度量结果分析</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600"/>
        <w:gridCol w:w="6760"/>
      </w:tblGrid>
      <w:tr>
        <w:tc>
          <w:tcPr>
            <w:tcW w:w="2600" w:type="dxa"/>
            <w:shd w:fill="F2F4F7"/>
            <w:vAlign w:val="center"/>
          </w:tcPr>
          <w:p>
            <w:pPr>
              <w:pStyle w:val="TableText"/>
              <w:spacing w:after="0"/>
            </w:pPr>
            <w:r>
              <w:rPr>
                <w:b/>
              </w:rPr>
              <w:t>度量项</w:t>
            </w:r>
          </w:p>
        </w:tc>
        <w:tc>
          <w:tcPr>
            <w:tcW w:w="6760" w:type="dxa"/>
            <w:shd w:fill="F2F4F7"/>
            <w:vAlign w:val="center"/>
          </w:tcPr>
          <w:p>
            <w:pPr>
              <w:pStyle w:val="TableText"/>
              <w:spacing w:after="0"/>
            </w:pPr>
            <w:r>
              <w:rPr>
                <w:b/>
              </w:rPr>
              <w:t>阶段性结果</w:t>
            </w:r>
          </w:p>
        </w:tc>
      </w:tr>
      <w:tr>
        <w:tc>
          <w:tcPr>
            <w:tcW w:w="2600" w:type="dxa"/>
            <w:vAlign w:val="center"/>
          </w:tcPr>
          <w:p>
            <w:pPr>
              <w:pStyle w:val="TableText"/>
              <w:spacing w:after="0"/>
            </w:pPr>
            <w:r>
              <w:t>范围覆盖</w:t>
            </w:r>
          </w:p>
        </w:tc>
        <w:tc>
          <w:tcPr>
            <w:tcW w:w="6760" w:type="dxa"/>
            <w:vAlign w:val="center"/>
          </w:tcPr>
          <w:p>
            <w:pPr>
              <w:pStyle w:val="TableText"/>
              <w:spacing w:after="0"/>
            </w:pPr>
            <w:r>
              <w:t>覆盖课程空间、学习现场、资料、图谱、规划、画像、AI Terminal 等核心模块</w:t>
            </w:r>
          </w:p>
        </w:tc>
      </w:tr>
      <w:tr>
        <w:tc>
          <w:tcPr>
            <w:tcW w:w="2600" w:type="dxa"/>
            <w:vAlign w:val="center"/>
          </w:tcPr>
          <w:p>
            <w:pPr>
              <w:pStyle w:val="TableText"/>
              <w:spacing w:after="0"/>
            </w:pPr>
            <w:r>
              <w:t>文档覆盖</w:t>
            </w:r>
          </w:p>
        </w:tc>
        <w:tc>
          <w:tcPr>
            <w:tcW w:w="6760" w:type="dxa"/>
            <w:vAlign w:val="center"/>
          </w:tcPr>
          <w:p>
            <w:pPr>
              <w:pStyle w:val="TableText"/>
              <w:spacing w:after="0"/>
            </w:pPr>
            <w:r>
              <w:t>覆盖项目管理课程要求的 11 类报告</w:t>
            </w:r>
          </w:p>
        </w:tc>
      </w:tr>
      <w:tr>
        <w:tc>
          <w:tcPr>
            <w:tcW w:w="2600" w:type="dxa"/>
            <w:vAlign w:val="center"/>
          </w:tcPr>
          <w:p>
            <w:pPr>
              <w:pStyle w:val="TableText"/>
              <w:spacing w:after="0"/>
            </w:pPr>
            <w:r>
              <w:t>进度基准</w:t>
            </w:r>
          </w:p>
        </w:tc>
        <w:tc>
          <w:tcPr>
            <w:tcW w:w="6760" w:type="dxa"/>
            <w:vAlign w:val="center"/>
          </w:tcPr>
          <w:p>
            <w:pPr>
              <w:pStyle w:val="TableText"/>
              <w:spacing w:after="0"/>
            </w:pPr>
            <w:r>
              <w:t>以 2026-06-17 为课程提交节点</w:t>
            </w:r>
          </w:p>
        </w:tc>
      </w:tr>
      <w:tr>
        <w:tc>
          <w:tcPr>
            <w:tcW w:w="2600" w:type="dxa"/>
            <w:vAlign w:val="center"/>
          </w:tcPr>
          <w:p>
            <w:pPr>
              <w:pStyle w:val="TableText"/>
              <w:spacing w:after="0"/>
            </w:pPr>
            <w:r>
              <w:t>成本基准</w:t>
            </w:r>
          </w:p>
        </w:tc>
        <w:tc>
          <w:tcPr>
            <w:tcW w:w="6760" w:type="dxa"/>
            <w:vAlign w:val="center"/>
          </w:tcPr>
          <w:p>
            <w:pPr>
              <w:pStyle w:val="TableText"/>
              <w:spacing w:after="0"/>
            </w:pPr>
            <w:r>
              <w:t>以 43,780 元作为课程估算口径</w:t>
            </w:r>
          </w:p>
        </w:tc>
      </w:tr>
      <w:tr>
        <w:tc>
          <w:tcPr>
            <w:tcW w:w="2600" w:type="dxa"/>
            <w:vAlign w:val="center"/>
          </w:tcPr>
          <w:p>
            <w:pPr>
              <w:pStyle w:val="TableText"/>
              <w:spacing w:after="0"/>
            </w:pPr>
            <w:r>
              <w:t>风险基准</w:t>
            </w:r>
          </w:p>
        </w:tc>
        <w:tc>
          <w:tcPr>
            <w:tcW w:w="6760" w:type="dxa"/>
            <w:vAlign w:val="center"/>
          </w:tcPr>
          <w:p>
            <w:pPr>
              <w:pStyle w:val="TableText"/>
              <w:spacing w:after="0"/>
            </w:pPr>
            <w:r>
              <w:t>已形成十大风险清单和对应策略</w:t>
            </w:r>
          </w:p>
        </w:tc>
      </w:tr>
      <w:tr>
        <w:tc>
          <w:tcPr>
            <w:tcW w:w="2600" w:type="dxa"/>
            <w:vAlign w:val="center"/>
          </w:tcPr>
          <w:p>
            <w:pPr>
              <w:pStyle w:val="TableText"/>
              <w:spacing w:after="0"/>
            </w:pPr>
            <w:r>
              <w:t>质量基准</w:t>
            </w:r>
          </w:p>
        </w:tc>
        <w:tc>
          <w:tcPr>
            <w:tcW w:w="6760" w:type="dxa"/>
            <w:vAlign w:val="center"/>
          </w:tcPr>
          <w:p>
            <w:pPr>
              <w:pStyle w:val="TableText"/>
              <w:spacing w:after="0"/>
            </w:pPr>
            <w:r>
              <w:t>以功能可用、数据一致、文档统一和演示稳定为主要目标</w:t>
            </w:r>
          </w:p>
        </w:tc>
      </w:tr>
    </w:tbl>
    <w:p>
      <w:pPr>
        <w:pStyle w:val="BodyText"/>
        <w:spacing w:after="80"/>
      </w:pPr>
    </w:p>
    <w:p>
      <w:pPr>
        <w:pStyle w:val="BodyText"/>
      </w:pPr>
      <w:r>
        <w:t>度量结果表明，项目在范围覆盖和文档覆盖方面完成度较高，已经能够支撑课程管理报告要求。进度方面，项目以 2026-06-17 为最终提交节点，阶段划分清楚。成本方面，43,780 元是课程估算口径，用于体现人力、设备和服务的综合投入；1500 元以内是真实现金支出口径，主要覆盖 Codex 类工具、云服务、数据库和模型调用。风险和质量方面，项目已经识别出智能服务、部署环境、需求蔓延和文档一致性等关键问题，并制定了相应策略。</w:t>
      </w:r>
    </w:p>
    <w:p>
      <w:pPr>
        <w:pStyle w:val="Heading2"/>
        <w:keepNext/>
      </w:pPr>
      <w:r>
        <w:t>四、做得好的方面</w:t>
      </w:r>
    </w:p>
    <w:p>
      <w:pPr>
        <w:pStyle w:val="BodyText"/>
        <w:numPr>
          <w:ilvl w:val="0"/>
          <w:numId w:val="2"/>
        </w:numPr>
      </w:pPr>
      <w:r>
        <w:t>项目主题真实，能和软件杯背景直接对应。</w:t>
      </w:r>
    </w:p>
    <w:p>
      <w:pPr>
        <w:pStyle w:val="BodyText"/>
        <w:numPr>
          <w:ilvl w:val="0"/>
          <w:numId w:val="2"/>
        </w:numPr>
      </w:pPr>
      <w:r>
        <w:t>功能覆盖完整，适合做课程管理案例。</w:t>
      </w:r>
    </w:p>
    <w:p>
      <w:pPr>
        <w:pStyle w:val="BodyText"/>
        <w:numPr>
          <w:ilvl w:val="0"/>
          <w:numId w:val="2"/>
        </w:numPr>
      </w:pPr>
      <w:r>
        <w:t>技术栈统一，便于分工和协作。</w:t>
      </w:r>
    </w:p>
    <w:p>
      <w:pPr>
        <w:pStyle w:val="BodyText"/>
        <w:numPr>
          <w:ilvl w:val="0"/>
          <w:numId w:val="2"/>
        </w:numPr>
      </w:pPr>
      <w:r>
        <w:t>文档材料较丰富，便于报告之间保持一致。</w:t>
      </w:r>
    </w:p>
    <w:p>
      <w:pPr>
        <w:pStyle w:val="BodyText"/>
        <w:numPr>
          <w:ilvl w:val="0"/>
          <w:numId w:val="2"/>
        </w:numPr>
      </w:pPr>
      <w:r>
        <w:t>团队虽然只有 3 人，但职责边界较明确，沟通效率较高。</w:t>
      </w:r>
    </w:p>
    <w:p>
      <w:pPr>
        <w:pStyle w:val="BodyText"/>
        <w:numPr>
          <w:ilvl w:val="0"/>
          <w:numId w:val="2"/>
        </w:numPr>
      </w:pPr>
      <w:r>
        <w:t>能够利用 Codex 类工具提高开发和文档整理效率。</w:t>
      </w:r>
    </w:p>
    <w:p>
      <w:pPr>
        <w:pStyle w:val="BodyText"/>
        <w:numPr>
          <w:ilvl w:val="0"/>
          <w:numId w:val="2"/>
        </w:numPr>
      </w:pPr>
      <w:r>
        <w:t>成本控制意识较强，真实现金支出可控。</w:t>
      </w:r>
    </w:p>
    <w:p>
      <w:pPr>
        <w:pStyle w:val="BodyText"/>
      </w:pPr>
      <w:r>
        <w:t>做得较好的根本原因是项目有真实背景和真实工程基础。课程报告不是凭空编写，而是围绕已有系统功能、赛题要求和开发过程展开，因此内容更容易互相支撑。团队也能根据项目实际情况调整报告口径，例如将组织可行性改为 3 人团队，将运维方案补充为阿里云数据库和本地备用环境。</w:t>
      </w:r>
    </w:p>
    <w:p>
      <w:pPr>
        <w:pStyle w:val="BodyText"/>
      </w:pPr>
      <w:r>
        <w:t>另一个做得较好的方面是系统设计具备沉淀能力。用户在 AI Terminal 中产生的计划、在 Workbench 中整理的笔记、AI Studio 生成的测验和闪卡、资料库中的知识块和图谱概念，都不是一次性输出，而是可以回到 Workspace 中继续使用。这一点让项目区别于普通 AI 聊天应用，也让软件项目管理中的范围、质量和风险控制有了更明确的对象。</w:t>
      </w:r>
    </w:p>
    <w:p>
      <w:pPr>
        <w:pStyle w:val="Heading2"/>
        <w:keepNext/>
      </w:pPr>
      <w:r>
        <w:t>五、做得差的方面</w:t>
      </w:r>
    </w:p>
    <w:p>
      <w:pPr>
        <w:pStyle w:val="BodyText"/>
        <w:numPr>
          <w:ilvl w:val="0"/>
          <w:numId w:val="2"/>
        </w:numPr>
      </w:pPr>
      <w:r>
        <w:t>智能能力较多，早期容易分散精力。</w:t>
      </w:r>
    </w:p>
    <w:p>
      <w:pPr>
        <w:pStyle w:val="BodyText"/>
        <w:numPr>
          <w:ilvl w:val="0"/>
          <w:numId w:val="2"/>
        </w:numPr>
      </w:pPr>
      <w:r>
        <w:t>文档与实现需要持续同步，不然容易出现口径偏差。</w:t>
      </w:r>
    </w:p>
    <w:p>
      <w:pPr>
        <w:pStyle w:val="BodyText"/>
        <w:numPr>
          <w:ilvl w:val="0"/>
          <w:numId w:val="2"/>
        </w:numPr>
      </w:pPr>
      <w:r>
        <w:t>最终展示依赖度较高，若准备不充分容易压缩收尾时间。</w:t>
      </w:r>
    </w:p>
    <w:p>
      <w:pPr>
        <w:pStyle w:val="BodyText"/>
        <w:numPr>
          <w:ilvl w:val="0"/>
          <w:numId w:val="2"/>
        </w:numPr>
      </w:pPr>
      <w:r>
        <w:t>部分高级能力更适合作为扩展项，而不是全部作为必做项。</w:t>
      </w:r>
    </w:p>
    <w:p>
      <w:pPr>
        <w:pStyle w:val="BodyText"/>
        <w:numPr>
          <w:ilvl w:val="0"/>
          <w:numId w:val="2"/>
        </w:numPr>
      </w:pPr>
      <w:r>
        <w:t>自动化测试和持续回归仍不够充分，更多依赖手工检查。</w:t>
      </w:r>
    </w:p>
    <w:p>
      <w:pPr>
        <w:pStyle w:val="BodyText"/>
        <w:numPr>
          <w:ilvl w:val="0"/>
          <w:numId w:val="2"/>
        </w:numPr>
      </w:pPr>
      <w:r>
        <w:t>全栈开发任务较集中，存在关键人员负荷较高的问题。</w:t>
      </w:r>
    </w:p>
    <w:p>
      <w:pPr>
        <w:pStyle w:val="BodyText"/>
        <w:numPr>
          <w:ilvl w:val="0"/>
          <w:numId w:val="2"/>
        </w:numPr>
      </w:pPr>
      <w:r>
        <w:t>外部模型服务和云端环境带来一定不可控因素。</w:t>
      </w:r>
    </w:p>
    <w:p>
      <w:pPr>
        <w:pStyle w:val="BodyText"/>
      </w:pPr>
      <w:r>
        <w:t>这些问题说明项目后期应更加重视收束，而不是继续扩张。特别是智能学习平台容易不断加入新想法，如果缺少优先级判断，就会影响核心流程稳定性和报告一致性。对于课程提交而言，稳定可交付比堆叠功能更重要。</w:t>
      </w:r>
    </w:p>
    <w:p>
      <w:pPr>
        <w:pStyle w:val="Heading2"/>
        <w:keepNext/>
      </w:pPr>
      <w:r>
        <w:t>六、改进方案和建议</w:t>
      </w:r>
    </w:p>
    <w:tbl>
      <w:tblPr>
        <w:tblStyle w:val="TableGrid"/>
        <w:tblW w:w="9360" w:type="dxa"/>
        <w:tblInd w:w="120" w:type="dxa"/>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CellMar>
          <w:top w:w="80" w:type="dxa"/>
          <w:bottom w:w="80" w:type="dxa"/>
          <w:start w:w="120" w:type="dxa"/>
          <w:end w:w="120" w:type="dxa"/>
        </w:tblCellMar>
        <w:tblLayout w:type="fixed"/>
      </w:tblPr>
      <w:tblGrid>
        <w:gridCol w:w="2200"/>
        <w:gridCol w:w="2300"/>
        <w:gridCol w:w="4860"/>
      </w:tblGrid>
      <w:tr>
        <w:tc>
          <w:tcPr>
            <w:tcW w:w="2200" w:type="dxa"/>
            <w:shd w:fill="F2F4F7"/>
            <w:vAlign w:val="center"/>
          </w:tcPr>
          <w:p>
            <w:pPr>
              <w:pStyle w:val="TableText"/>
              <w:spacing w:after="0"/>
            </w:pPr>
            <w:r>
              <w:rPr>
                <w:b/>
              </w:rPr>
              <w:t>问题</w:t>
            </w:r>
          </w:p>
        </w:tc>
        <w:tc>
          <w:tcPr>
            <w:tcW w:w="2300" w:type="dxa"/>
            <w:shd w:fill="F2F4F7"/>
            <w:vAlign w:val="center"/>
          </w:tcPr>
          <w:p>
            <w:pPr>
              <w:pStyle w:val="TableText"/>
              <w:spacing w:after="0"/>
            </w:pPr>
            <w:r>
              <w:rPr>
                <w:b/>
              </w:rPr>
              <w:t>改进措施</w:t>
            </w:r>
          </w:p>
        </w:tc>
        <w:tc>
          <w:tcPr>
            <w:tcW w:w="4860" w:type="dxa"/>
            <w:shd w:fill="F2F4F7"/>
            <w:vAlign w:val="center"/>
          </w:tcPr>
          <w:p>
            <w:pPr>
              <w:pStyle w:val="TableText"/>
              <w:spacing w:after="0"/>
            </w:pPr>
            <w:r>
              <w:rPr>
                <w:b/>
              </w:rPr>
              <w:t>责任人</w:t>
            </w:r>
          </w:p>
        </w:tc>
      </w:tr>
      <w:tr>
        <w:tc>
          <w:tcPr>
            <w:tcW w:w="2200" w:type="dxa"/>
            <w:vAlign w:val="center"/>
          </w:tcPr>
          <w:p>
            <w:pPr>
              <w:pStyle w:val="TableText"/>
              <w:spacing w:after="0"/>
            </w:pPr>
            <w:r>
              <w:t>范围偏大</w:t>
            </w:r>
          </w:p>
        </w:tc>
        <w:tc>
          <w:tcPr>
            <w:tcW w:w="2300" w:type="dxa"/>
            <w:vAlign w:val="center"/>
          </w:tcPr>
          <w:p>
            <w:pPr>
              <w:pStyle w:val="TableText"/>
              <w:spacing w:after="0"/>
            </w:pPr>
            <w:r>
              <w:t>冻结核心功能，减少临时扩展</w:t>
            </w:r>
          </w:p>
        </w:tc>
        <w:tc>
          <w:tcPr>
            <w:tcW w:w="4860" w:type="dxa"/>
            <w:vAlign w:val="center"/>
          </w:tcPr>
          <w:p>
            <w:pPr>
              <w:pStyle w:val="TableText"/>
              <w:spacing w:after="0"/>
            </w:pPr>
            <w:r>
              <w:t>项目负责人</w:t>
            </w:r>
          </w:p>
        </w:tc>
      </w:tr>
      <w:tr>
        <w:tc>
          <w:tcPr>
            <w:tcW w:w="2200" w:type="dxa"/>
            <w:vAlign w:val="center"/>
          </w:tcPr>
          <w:p>
            <w:pPr>
              <w:pStyle w:val="TableText"/>
              <w:spacing w:after="0"/>
            </w:pPr>
            <w:r>
              <w:t>文档分散</w:t>
            </w:r>
          </w:p>
        </w:tc>
        <w:tc>
          <w:tcPr>
            <w:tcW w:w="2300" w:type="dxa"/>
            <w:vAlign w:val="center"/>
          </w:tcPr>
          <w:p>
            <w:pPr>
              <w:pStyle w:val="TableText"/>
              <w:spacing w:after="0"/>
            </w:pPr>
            <w:r>
              <w:t>统一术语、时间线和模块边界</w:t>
            </w:r>
          </w:p>
        </w:tc>
        <w:tc>
          <w:tcPr>
            <w:tcW w:w="4860" w:type="dxa"/>
            <w:vAlign w:val="center"/>
          </w:tcPr>
          <w:p>
            <w:pPr>
              <w:pStyle w:val="TableText"/>
              <w:spacing w:after="0"/>
            </w:pPr>
            <w:r>
              <w:t>文档负责人</w:t>
            </w:r>
          </w:p>
        </w:tc>
      </w:tr>
      <w:tr>
        <w:tc>
          <w:tcPr>
            <w:tcW w:w="2200" w:type="dxa"/>
            <w:vAlign w:val="center"/>
          </w:tcPr>
          <w:p>
            <w:pPr>
              <w:pStyle w:val="TableText"/>
              <w:spacing w:after="0"/>
            </w:pPr>
            <w:r>
              <w:t>测试滞后</w:t>
            </w:r>
          </w:p>
        </w:tc>
        <w:tc>
          <w:tcPr>
            <w:tcW w:w="2300" w:type="dxa"/>
            <w:vAlign w:val="center"/>
          </w:tcPr>
          <w:p>
            <w:pPr>
              <w:pStyle w:val="TableText"/>
              <w:spacing w:after="0"/>
            </w:pPr>
            <w:r>
              <w:t>提前做冒烟和回归测试</w:t>
            </w:r>
          </w:p>
        </w:tc>
        <w:tc>
          <w:tcPr>
            <w:tcW w:w="4860" w:type="dxa"/>
            <w:vAlign w:val="center"/>
          </w:tcPr>
          <w:p>
            <w:pPr>
              <w:pStyle w:val="TableText"/>
              <w:spacing w:after="0"/>
            </w:pPr>
            <w:r>
              <w:t>测试与开发</w:t>
            </w:r>
          </w:p>
        </w:tc>
      </w:tr>
      <w:tr>
        <w:tc>
          <w:tcPr>
            <w:tcW w:w="2200" w:type="dxa"/>
            <w:vAlign w:val="center"/>
          </w:tcPr>
          <w:p>
            <w:pPr>
              <w:pStyle w:val="TableText"/>
              <w:spacing w:after="0"/>
            </w:pPr>
            <w:r>
              <w:t>演示不稳</w:t>
            </w:r>
          </w:p>
        </w:tc>
        <w:tc>
          <w:tcPr>
            <w:tcW w:w="2300" w:type="dxa"/>
            <w:vAlign w:val="center"/>
          </w:tcPr>
          <w:p>
            <w:pPr>
              <w:pStyle w:val="TableText"/>
              <w:spacing w:after="0"/>
            </w:pPr>
            <w:r>
              <w:t>准备最小可运行方案</w:t>
            </w:r>
          </w:p>
        </w:tc>
        <w:tc>
          <w:tcPr>
            <w:tcW w:w="4860" w:type="dxa"/>
            <w:vAlign w:val="center"/>
          </w:tcPr>
          <w:p>
            <w:pPr>
              <w:pStyle w:val="TableText"/>
              <w:spacing w:after="0"/>
            </w:pPr>
            <w:r>
              <w:t>全体</w:t>
            </w:r>
          </w:p>
        </w:tc>
      </w:tr>
      <w:tr>
        <w:tc>
          <w:tcPr>
            <w:tcW w:w="2200" w:type="dxa"/>
            <w:vAlign w:val="center"/>
          </w:tcPr>
          <w:p>
            <w:pPr>
              <w:pStyle w:val="TableText"/>
              <w:spacing w:after="0"/>
            </w:pPr>
            <w:r>
              <w:t>AI 生成内容需复核</w:t>
            </w:r>
          </w:p>
        </w:tc>
        <w:tc>
          <w:tcPr>
            <w:tcW w:w="2300" w:type="dxa"/>
            <w:vAlign w:val="center"/>
          </w:tcPr>
          <w:p>
            <w:pPr>
              <w:pStyle w:val="TableText"/>
              <w:spacing w:after="0"/>
            </w:pPr>
            <w:r>
              <w:t>建立代码和文档人工审查清单</w:t>
            </w:r>
          </w:p>
        </w:tc>
        <w:tc>
          <w:tcPr>
            <w:tcW w:w="4860" w:type="dxa"/>
            <w:vAlign w:val="center"/>
          </w:tcPr>
          <w:p>
            <w:pPr>
              <w:pStyle w:val="TableText"/>
              <w:spacing w:after="0"/>
            </w:pPr>
            <w:r>
              <w:t>全体</w:t>
            </w:r>
          </w:p>
        </w:tc>
      </w:tr>
      <w:tr>
        <w:tc>
          <w:tcPr>
            <w:tcW w:w="2200" w:type="dxa"/>
            <w:vAlign w:val="center"/>
          </w:tcPr>
          <w:p>
            <w:pPr>
              <w:pStyle w:val="TableText"/>
              <w:spacing w:after="0"/>
            </w:pPr>
            <w:r>
              <w:t>云数据库依赖</w:t>
            </w:r>
          </w:p>
        </w:tc>
        <w:tc>
          <w:tcPr>
            <w:tcW w:w="2300" w:type="dxa"/>
            <w:vAlign w:val="center"/>
          </w:tcPr>
          <w:p>
            <w:pPr>
              <w:pStyle w:val="TableText"/>
              <w:spacing w:after="0"/>
            </w:pPr>
            <w:r>
              <w:t>保留本地备用数据和连接配置说明</w:t>
            </w:r>
          </w:p>
        </w:tc>
        <w:tc>
          <w:tcPr>
            <w:tcW w:w="4860" w:type="dxa"/>
            <w:vAlign w:val="center"/>
          </w:tcPr>
          <w:p>
            <w:pPr>
              <w:pStyle w:val="TableText"/>
              <w:spacing w:after="0"/>
            </w:pPr>
            <w:r>
              <w:t>运维测试</w:t>
            </w:r>
          </w:p>
        </w:tc>
      </w:tr>
      <w:tr>
        <w:tc>
          <w:tcPr>
            <w:tcW w:w="2200" w:type="dxa"/>
            <w:vAlign w:val="center"/>
          </w:tcPr>
          <w:p>
            <w:pPr>
              <w:pStyle w:val="TableText"/>
              <w:spacing w:after="0"/>
            </w:pPr>
            <w:r>
              <w:t>全栈任务集中</w:t>
            </w:r>
          </w:p>
        </w:tc>
        <w:tc>
          <w:tcPr>
            <w:tcW w:w="2300" w:type="dxa"/>
            <w:vAlign w:val="center"/>
          </w:tcPr>
          <w:p>
            <w:pPr>
              <w:pStyle w:val="TableText"/>
              <w:spacing w:after="0"/>
            </w:pPr>
            <w:r>
              <w:t>将非核心功能降级，优先修复主流程问题</w:t>
            </w:r>
          </w:p>
        </w:tc>
        <w:tc>
          <w:tcPr>
            <w:tcW w:w="4860" w:type="dxa"/>
            <w:vAlign w:val="center"/>
          </w:tcPr>
          <w:p>
            <w:pPr>
              <w:pStyle w:val="TableText"/>
              <w:spacing w:after="0"/>
            </w:pPr>
            <w:r>
              <w:t>项目统筹</w:t>
            </w:r>
          </w:p>
        </w:tc>
      </w:tr>
    </w:tbl>
    <w:p>
      <w:pPr>
        <w:pStyle w:val="BodyText"/>
        <w:spacing w:after="80"/>
      </w:pPr>
    </w:p>
    <w:p>
      <w:pPr>
        <w:pStyle w:val="BodyText"/>
      </w:pPr>
      <w:r>
        <w:t>改进方案应分为短期和长期。短期改进围绕课程提交，包括统一报告口径、完成演示回归、检查数据库连接、准备备用截图和降级说明。长期改进围绕产品化，包括完善自动化测试、增强权限控制、优化性能、补充教师端或团队协作能力，并建立更规范的部署和监控流程。</w:t>
      </w:r>
    </w:p>
    <w:p>
      <w:pPr>
        <w:pStyle w:val="Heading2"/>
        <w:keepNext/>
      </w:pPr>
      <w:r>
        <w:t>七、需要的支持</w:t>
      </w:r>
    </w:p>
    <w:p>
      <w:pPr>
        <w:pStyle w:val="BodyText"/>
      </w:pPr>
      <w:r>
        <w:t>本项目若要更稳地完成课程提交和答辩，仍需要以下支持：</w:t>
      </w:r>
    </w:p>
    <w:p>
      <w:pPr>
        <w:pStyle w:val="BodyText"/>
        <w:numPr>
          <w:ilvl w:val="0"/>
          <w:numId w:val="1"/>
        </w:numPr>
      </w:pPr>
      <w:r>
        <w:t>更稳定的演示环境。</w:t>
      </w:r>
    </w:p>
    <w:p>
      <w:pPr>
        <w:pStyle w:val="BodyText"/>
        <w:numPr>
          <w:ilvl w:val="0"/>
          <w:numId w:val="1"/>
        </w:numPr>
      </w:pPr>
      <w:r>
        <w:t>统一的截图和排版时间。</w:t>
      </w:r>
    </w:p>
    <w:p>
      <w:pPr>
        <w:pStyle w:val="BodyText"/>
        <w:numPr>
          <w:ilvl w:val="0"/>
          <w:numId w:val="1"/>
        </w:numPr>
      </w:pPr>
      <w:r>
        <w:t>充足的最终复盘窗口。</w:t>
      </w:r>
    </w:p>
    <w:p>
      <w:pPr>
        <w:pStyle w:val="BodyText"/>
        <w:numPr>
          <w:ilvl w:val="0"/>
          <w:numId w:val="1"/>
        </w:numPr>
      </w:pPr>
      <w:r>
        <w:t>若涉及外部智能服务，需预留替代方案。</w:t>
      </w:r>
    </w:p>
    <w:p>
      <w:pPr>
        <w:pStyle w:val="BodyText"/>
        <w:numPr>
          <w:ilvl w:val="0"/>
          <w:numId w:val="1"/>
        </w:numPr>
      </w:pPr>
      <w:r>
        <w:t>Codex 类工具和模型调用额度的合理保障。</w:t>
      </w:r>
    </w:p>
    <w:p>
      <w:pPr>
        <w:pStyle w:val="BodyText"/>
        <w:numPr>
          <w:ilvl w:val="0"/>
          <w:numId w:val="1"/>
        </w:numPr>
      </w:pPr>
      <w:r>
        <w:t>阿里云数据库和服务机部署环境的稳定配置。</w:t>
      </w:r>
    </w:p>
    <w:p>
      <w:pPr>
        <w:pStyle w:val="BodyText"/>
        <w:numPr>
          <w:ilvl w:val="0"/>
          <w:numId w:val="1"/>
        </w:numPr>
      </w:pPr>
      <w:r>
        <w:t>对课程报告进行最后一轮统一校对的时间。</w:t>
      </w:r>
    </w:p>
    <w:p>
      <w:pPr>
        <w:pStyle w:val="BodyText"/>
      </w:pPr>
      <w:r>
        <w:t>这些支持并不一定意味着额外大量资金投入，更多是时间、环境和配置层面的保障。当前阶段最需要的是避免临近提交时频繁变动需求，把有限资源投入到稳定性和一致性上。</w:t>
      </w:r>
    </w:p>
    <w:p>
      <w:pPr>
        <w:pStyle w:val="Heading2"/>
        <w:keepNext/>
      </w:pPr>
      <w:r>
        <w:t>八、总结</w:t>
      </w:r>
    </w:p>
    <w:p>
      <w:pPr>
        <w:pStyle w:val="BodyText"/>
      </w:pPr>
      <w:r>
        <w:t>整体来看，本项目具备较好的完整性和延展性，适合作为软件项目管理课程的作业对象。它不仅能覆盖项目建议、计划、估算、风险和质量等管理主题，也能和真实软件开发过程对齐。后续工作的重点不是再扩大范围，而是把现有功能、文档和演示稳稳收住。</w:t>
      </w:r>
    </w:p>
    <w:p>
      <w:pPr>
        <w:pStyle w:val="BodyText"/>
      </w:pPr>
      <w:r>
        <w:t>通过本项目可以看到，软件项目管理并不是脱离开发过程的表格填写，而是对真实项目进行范围选择、资源安排、进度控制、成本约束、风险应对和质量保证。项目中使用 Codex 类 AI 工具提高了效率，但也带来了复核和质量控制要求；迁移到阿里云数据库提升了演示与部署能力，但也增加了环境风险；3 人团队提高了沟通效率，但也要求更严格地控制范围和优先级。</w:t>
      </w:r>
    </w:p>
    <w:p>
      <w:pPr>
        <w:pStyle w:val="BodyText"/>
      </w:pPr>
      <w:r>
        <w:t>最终结论是：项目目标基本明确，技术路线可行，资源和成本可控，主要风险已有应对方案，质量管理重点清楚。只要在提交前完成报告统一、演示回归和环境检查，本项目能够满足软件项目管理课程报告和软件杯作品展示的阶段性要求。</w:t>
      </w:r>
    </w:p>
    <w:p>
      <w:pPr>
        <w:pStyle w:val="BodyText"/>
      </w:pPr>
      <w:r>
        <w:t>因此，本项目的管理经验可以概括为：以真实业务闭环定义范围，以 Workspace/Workbench/资料库/智能能力的依赖关系安排进度，以模型调用、云数据库和部署环境控制成本，以资料索引、状态保存、审批写入和演示稳定性管理风险，以场景化测试和文档一致性保证质量。这样形成的 11 份报告才不是课堂框架的机械套用，而是项目开发过程本身的管理记录。</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lvl>
  </w:abstractNum>
  <w:abstractNum w:abstractNumId="2">
    <w:multiLevelType w:val="hybridMultilevel"/>
    <w:lvl w:ilvl="0">
      <w:start w:val="1"/>
      <w:numFmt w:val="decimal"/>
      <w:lvlText w:val="%1."/>
      <w:lvlJc w:val="left"/>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styleId="Normal">
    <w:name w:val="Normal"/>
    <w:pPr>
      <w:spacing w:before="0" w:after="120" w:line="264" w:lineRule="auto"/>
    </w:pPr>
    <w:rPr>
      <w:rFonts w:ascii="Calibri" w:hAnsi="Calibri" w:eastAsia="SimSun" w:cs="Calibri"/>
      <w:color w:val="000000"/>
      <w:sz w:val="22"/>
      <w:szCs w:val="22"/>
    </w:rPr>
  </w:style>
  <w:style w:type="paragraph" w:styleId="BodyText">
    <w:name w:val="Body Text"/>
    <w:basedOn w:val="Normal"/>
    <w:pPr>
      <w:spacing w:before="0" w:after="120" w:line="264" w:lineRule="auto"/>
    </w:pPr>
    <w:rPr>
      <w:rFonts w:ascii="Calibri" w:hAnsi="Calibri" w:eastAsia="SimSun" w:cs="Calibri"/>
      <w:color w:val="000000"/>
      <w:sz w:val="22"/>
      <w:szCs w:val="22"/>
    </w:rPr>
  </w:style>
  <w:style w:type="paragraph" w:styleId="DocTitle">
    <w:name w:val="Document Title"/>
    <w:basedOn w:val="Normal"/>
    <w:pPr>
      <w:spacing w:before="0" w:after="120" w:line="300" w:lineRule="auto"/>
    </w:pPr>
    <w:rPr>
      <w:rFonts w:ascii="Calibri" w:hAnsi="Calibri" w:eastAsia="SimSun" w:cs="Calibri"/>
      <w:color w:val="0B2545"/>
      <w:sz w:val="48"/>
      <w:szCs w:val="48"/>
      <w:b/>
    </w:rPr>
  </w:style>
  <w:style w:type="paragraph" w:styleId="Subtitle">
    <w:name w:val="Subtitle"/>
    <w:basedOn w:val="Normal"/>
    <w:pPr>
      <w:spacing w:before="0" w:after="180" w:line="280" w:lineRule="auto"/>
    </w:pPr>
    <w:rPr>
      <w:rFonts w:ascii="Calibri" w:hAnsi="Calibri" w:eastAsia="SimSun" w:cs="Calibri"/>
      <w:color w:val="555555"/>
      <w:sz w:val="28"/>
      <w:szCs w:val="28"/>
    </w:rPr>
  </w:style>
  <w:style w:type="paragraph" w:styleId="Meta">
    <w:name w:val="Metadata"/>
    <w:basedOn w:val="Normal"/>
    <w:pPr>
      <w:spacing w:before="0" w:after="80" w:line="260" w:lineRule="auto"/>
    </w:pPr>
    <w:rPr>
      <w:rFonts w:ascii="Calibri" w:hAnsi="Calibri" w:eastAsia="SimSun" w:cs="Calibri"/>
      <w:color w:val="555555"/>
      <w:sz w:val="20"/>
      <w:szCs w:val="20"/>
    </w:rPr>
  </w:style>
  <w:style w:type="paragraph" w:styleId="TocLine">
    <w:name w:val="TOC Line"/>
    <w:basedOn w:val="Normal"/>
    <w:pPr>
      <w:spacing w:before="0" w:after="80" w:line="260" w:lineRule="auto"/>
    </w:pPr>
    <w:rPr>
      <w:rFonts w:ascii="Calibri" w:hAnsi="Calibri" w:eastAsia="SimSun" w:cs="Calibri"/>
      <w:color w:val="000000"/>
      <w:sz w:val="22"/>
      <w:szCs w:val="22"/>
    </w:rPr>
  </w:style>
  <w:style w:type="paragraph" w:styleId="Heading1">
    <w:name w:val="heading 1"/>
    <w:basedOn w:val="Normal"/>
    <w:pPr>
      <w:spacing w:before="320" w:after="160" w:line="280" w:lineRule="auto"/>
      <w:keepNext/>
      <w:outlineLvl w:val="0"/>
    </w:pPr>
    <w:rPr>
      <w:rFonts w:ascii="Calibri" w:hAnsi="Calibri" w:eastAsia="SimSun" w:cs="Calibri"/>
      <w:color w:val="2E74B5"/>
      <w:sz w:val="32"/>
      <w:szCs w:val="32"/>
      <w:b/>
    </w:rPr>
  </w:style>
  <w:style w:type="paragraph" w:styleId="Heading2">
    <w:name w:val="heading 2"/>
    <w:basedOn w:val="Normal"/>
    <w:pPr>
      <w:spacing w:before="240" w:after="120" w:line="270" w:lineRule="auto"/>
      <w:keepNext/>
      <w:outlineLvl w:val="1"/>
    </w:pPr>
    <w:rPr>
      <w:rFonts w:ascii="Calibri" w:hAnsi="Calibri" w:eastAsia="SimSun" w:cs="Calibri"/>
      <w:color w:val="2E74B5"/>
      <w:sz w:val="26"/>
      <w:szCs w:val="26"/>
      <w:b/>
    </w:rPr>
  </w:style>
  <w:style w:type="paragraph" w:styleId="Heading3">
    <w:name w:val="heading 3"/>
    <w:basedOn w:val="Normal"/>
    <w:pPr>
      <w:spacing w:before="160" w:after="80" w:line="260" w:lineRule="auto"/>
      <w:keepNext/>
      <w:outlineLvl w:val="2"/>
    </w:pPr>
    <w:rPr>
      <w:rFonts w:ascii="Calibri" w:hAnsi="Calibri" w:eastAsia="SimSun" w:cs="Calibri"/>
      <w:color w:val="1F4D78"/>
      <w:sz w:val="24"/>
      <w:szCs w:val="24"/>
      <w:b/>
    </w:rPr>
  </w:style>
  <w:style w:type="paragraph" w:styleId="TableText">
    <w:name w:val="Table Text"/>
    <w:basedOn w:val="Normal"/>
    <w:pPr>
      <w:spacing w:before="0" w:after="0" w:line="250" w:lineRule="auto"/>
    </w:pPr>
    <w:rPr>
      <w:rFonts w:ascii="Calibri" w:hAnsi="Calibri" w:eastAsia="SimSun" w:cs="Calibri"/>
      <w:color w:val="000000"/>
      <w:sz w:val="20"/>
      <w:szCs w:val="20"/>
    </w:rPr>
  </w:style>
  <w:style w:type="paragraph" w:styleId="CodeBlock">
    <w:name w:val="Code Block"/>
    <w:basedOn w:val="Normal"/>
    <w:pPr>
      <w:spacing w:before="0" w:after="0" w:line="240" w:lineRule="auto"/>
    </w:pPr>
    <w:rPr>
      <w:rFonts w:ascii="Consolas" w:hAnsi="Consolas" w:eastAsia="SimSun" w:cs="Consolas"/>
      <w:color w:val="333333"/>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软件项目管理课程报告</dc:title>
  <dc:subject>AI Learning Workspace / 大学生智能学习辅助平台</dc:subject>
  <dc:creator>Codex</dc:creator>
  <cp:lastModifiedBy>Codex</cp:lastModifiedBy>
  <dcterms:created xsi:type="dcterms:W3CDTF">2026-06-16T06:46:16Z</dcterms:created>
  <dcterms:modified xsi:type="dcterms:W3CDTF">2026-06-16T06:46:16Z</dcterms:modified>
</cp:coreProperties>
</file>