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F2B0F0">
      <w:pPr>
        <w:spacing w:before="0" w:after="0"/>
      </w:pPr>
    </w:p>
    <w:p w14:paraId="67D16BCB">
      <w:pPr>
        <w:spacing w:before="0" w:after="0"/>
      </w:pPr>
    </w:p>
    <w:p w14:paraId="053A7732">
      <w:pPr>
        <w:spacing w:before="480" w:after="120"/>
        <w:jc w:val="center"/>
      </w:pPr>
      <w:r>
        <w:rPr>
          <w:rFonts w:ascii="Arial" w:hAnsi="Arial" w:eastAsia="Arial" w:cs="Arial"/>
          <w:b/>
          <w:bCs/>
          <w:color w:val="1F4E79"/>
          <w:sz w:val="52"/>
          <w:szCs w:val="52"/>
        </w:rPr>
        <w:t>发  明  专  利  申  请  书</w:t>
      </w:r>
    </w:p>
    <w:p w14:paraId="48949786">
      <w:pPr>
        <w:pBdr>
          <w:bottom w:val="single" w:color="2E75B6" w:sz="12" w:space="4"/>
        </w:pBdr>
        <w:spacing w:before="120" w:after="80"/>
        <w:jc w:val="center"/>
      </w:pPr>
      <w:r>
        <w:rPr>
          <w:rFonts w:ascii="Arial" w:hAnsi="Arial" w:eastAsia="Arial" w:cs="Arial"/>
          <w:b/>
          <w:bCs/>
          <w:color w:val="1F4E79"/>
          <w:sz w:val="32"/>
          <w:szCs w:val="32"/>
        </w:rPr>
        <w:t>一种车联网平台跨异构通信边界的远控链路追踪缝合方法</w:t>
      </w:r>
    </w:p>
    <w:p w14:paraId="5E4690A8">
      <w:pPr>
        <w:spacing w:before="0" w:after="0"/>
      </w:pPr>
    </w:p>
    <w:p w14:paraId="7B0AA2EA">
      <w:pPr>
        <w:jc w:val="center"/>
      </w:pPr>
      <w:r>
        <w:rPr>
          <w:rFonts w:ascii="Arial" w:hAnsi="Arial" w:eastAsia="Arial" w:cs="Arial"/>
          <w:i/>
          <w:iCs/>
          <w:color w:val="595959"/>
          <w:sz w:val="22"/>
          <w:szCs w:val="22"/>
        </w:rPr>
        <w:t>A Method for Remote Control Trace Stitching Across Heterogeneous Communication Boundaries in Vehicle Telematics Platforms</w:t>
      </w:r>
    </w:p>
    <w:p w14:paraId="5814E880">
      <w:pPr>
        <w:spacing w:before="0" w:after="0"/>
      </w:pPr>
    </w:p>
    <w:p w14:paraId="13F5E45A">
      <w:pPr>
        <w:spacing w:before="0" w:after="0"/>
      </w:pP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6960"/>
      </w:tblGrid>
      <w:tr w14:paraId="770D9E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BBBBB" w:sz="0" w:space="0"/>
              <w:left w:val="single" w:color="BBBBBB" w:sz="0" w:space="0"/>
              <w:bottom w:val="single" w:color="BBBBBB" w:sz="0" w:space="0"/>
              <w:right w:val="single" w:color="BBBBBB" w:sz="0" w:space="0"/>
            </w:tcBorders>
            <w:shd w:val="clear" w:color="auto" w:fill="D6E4F0"/>
            <w:tcMar>
              <w:top w:w="80" w:type="dxa"/>
              <w:left w:w="120" w:type="dxa"/>
              <w:bottom w:w="80" w:type="dxa"/>
              <w:right w:w="120" w:type="dxa"/>
            </w:tcMar>
          </w:tcPr>
          <w:p w14:paraId="685366D7">
            <w:r>
              <w:rPr>
                <w:rFonts w:ascii="Arial" w:hAnsi="Arial" w:eastAsia="Arial" w:cs="Arial"/>
                <w:b/>
                <w:bCs/>
                <w:sz w:val="20"/>
                <w:szCs w:val="20"/>
              </w:rPr>
              <w:t>申请人</w:t>
            </w:r>
          </w:p>
        </w:tc>
        <w:tc>
          <w:tcPr>
            <w:tcW w:w="69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193664C9">
            <w:r>
              <w:rPr>
                <w:rFonts w:ascii="Arial" w:hAnsi="Arial" w:eastAsia="Arial" w:cs="Arial"/>
                <w:b w:val="0"/>
                <w:bCs w:val="0"/>
                <w:sz w:val="20"/>
                <w:szCs w:val="20"/>
              </w:rPr>
              <w:t>[申请人名称]</w:t>
            </w:r>
          </w:p>
        </w:tc>
      </w:tr>
      <w:tr w14:paraId="2C692C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BBBBB" w:sz="0" w:space="0"/>
              <w:left w:val="single" w:color="BBBBBB" w:sz="0" w:space="0"/>
              <w:bottom w:val="single" w:color="BBBBBB" w:sz="0" w:space="0"/>
              <w:right w:val="single" w:color="BBBBBB" w:sz="0" w:space="0"/>
            </w:tcBorders>
            <w:shd w:val="clear" w:color="auto" w:fill="D6E4F0"/>
            <w:tcMar>
              <w:top w:w="80" w:type="dxa"/>
              <w:left w:w="120" w:type="dxa"/>
              <w:bottom w:w="80" w:type="dxa"/>
              <w:right w:w="120" w:type="dxa"/>
            </w:tcMar>
          </w:tcPr>
          <w:p w14:paraId="7FC1A21E">
            <w:r>
              <w:rPr>
                <w:rFonts w:ascii="Arial" w:hAnsi="Arial" w:eastAsia="Arial" w:cs="Arial"/>
                <w:b/>
                <w:bCs/>
                <w:sz w:val="20"/>
                <w:szCs w:val="20"/>
              </w:rPr>
              <w:t>发明人</w:t>
            </w:r>
          </w:p>
        </w:tc>
        <w:tc>
          <w:tcPr>
            <w:tcW w:w="69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21A0075B">
            <w:r>
              <w:rPr>
                <w:rFonts w:ascii="Arial" w:hAnsi="Arial" w:eastAsia="Arial" w:cs="Arial"/>
                <w:b w:val="0"/>
                <w:bCs w:val="0"/>
                <w:sz w:val="20"/>
                <w:szCs w:val="20"/>
              </w:rPr>
              <w:t>[发明人姓名]</w:t>
            </w:r>
          </w:p>
        </w:tc>
      </w:tr>
      <w:tr w14:paraId="04E3E6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BBBBB" w:sz="0" w:space="0"/>
              <w:left w:val="single" w:color="BBBBBB" w:sz="0" w:space="0"/>
              <w:bottom w:val="single" w:color="BBBBBB" w:sz="0" w:space="0"/>
              <w:right w:val="single" w:color="BBBBBB" w:sz="0" w:space="0"/>
            </w:tcBorders>
            <w:shd w:val="clear" w:color="auto" w:fill="D6E4F0"/>
            <w:tcMar>
              <w:top w:w="80" w:type="dxa"/>
              <w:left w:w="120" w:type="dxa"/>
              <w:bottom w:w="80" w:type="dxa"/>
              <w:right w:w="120" w:type="dxa"/>
            </w:tcMar>
          </w:tcPr>
          <w:p w14:paraId="34C8435E">
            <w:r>
              <w:rPr>
                <w:rFonts w:ascii="Arial" w:hAnsi="Arial" w:eastAsia="Arial" w:cs="Arial"/>
                <w:b/>
                <w:bCs/>
                <w:sz w:val="20"/>
                <w:szCs w:val="20"/>
              </w:rPr>
              <w:t>申请日期</w:t>
            </w:r>
          </w:p>
        </w:tc>
        <w:tc>
          <w:tcPr>
            <w:tcW w:w="69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3B403735">
            <w:r>
              <w:rPr>
                <w:rFonts w:ascii="Arial" w:hAnsi="Arial" w:eastAsia="Arial" w:cs="Arial"/>
                <w:b w:val="0"/>
                <w:bCs w:val="0"/>
                <w:sz w:val="20"/>
                <w:szCs w:val="20"/>
              </w:rPr>
              <w:t>2026年</w:t>
            </w:r>
          </w:p>
        </w:tc>
      </w:tr>
      <w:tr w14:paraId="27A814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BBBBB" w:sz="0" w:space="0"/>
              <w:left w:val="single" w:color="BBBBBB" w:sz="0" w:space="0"/>
              <w:bottom w:val="single" w:color="BBBBBB" w:sz="0" w:space="0"/>
              <w:right w:val="single" w:color="BBBBBB" w:sz="0" w:space="0"/>
            </w:tcBorders>
            <w:shd w:val="clear" w:color="auto" w:fill="D6E4F0"/>
            <w:tcMar>
              <w:top w:w="80" w:type="dxa"/>
              <w:left w:w="120" w:type="dxa"/>
              <w:bottom w:w="80" w:type="dxa"/>
              <w:right w:w="120" w:type="dxa"/>
            </w:tcMar>
          </w:tcPr>
          <w:p w14:paraId="49BCC31B">
            <w:r>
              <w:rPr>
                <w:rFonts w:ascii="Arial" w:hAnsi="Arial" w:eastAsia="Arial" w:cs="Arial"/>
                <w:b/>
                <w:bCs/>
                <w:sz w:val="20"/>
                <w:szCs w:val="20"/>
              </w:rPr>
              <w:t>技术领域分类</w:t>
            </w:r>
          </w:p>
        </w:tc>
        <w:tc>
          <w:tcPr>
            <w:tcW w:w="69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73CF0458">
            <w:r>
              <w:rPr>
                <w:rFonts w:ascii="Arial" w:hAnsi="Arial" w:eastAsia="Arial" w:cs="Arial"/>
                <w:b w:val="0"/>
                <w:bCs w:val="0"/>
                <w:sz w:val="20"/>
                <w:szCs w:val="20"/>
              </w:rPr>
              <w:t>G06F 11/34；H04L 41/00；H04W 4/40</w:t>
            </w:r>
          </w:p>
        </w:tc>
      </w:tr>
    </w:tbl>
    <w:p w14:paraId="43E7D06F">
      <w:pPr>
        <w:spacing w:before="0" w:after="0"/>
      </w:pPr>
    </w:p>
    <w:p w14:paraId="1E57C01F">
      <w:pPr>
        <w:spacing w:before="0" w:after="0"/>
      </w:pPr>
    </w:p>
    <w:p w14:paraId="1C60B75D">
      <w:pPr>
        <w:spacing w:before="0" w:after="0"/>
      </w:pPr>
    </w:p>
    <w:p w14:paraId="4CF4FB62">
      <w:pPr>
        <w:pageBreakBefore/>
      </w:pPr>
      <w:r>
        <w:br w:type="textWrapping"/>
      </w:r>
    </w:p>
    <w:p w14:paraId="0B6FDFA8">
      <w:pPr>
        <w:pStyle w:val="2"/>
        <w:pBdr>
          <w:bottom w:val="single" w:color="2E75B6" w:sz="6" w:space="1"/>
        </w:pBdr>
        <w:spacing w:before="320" w:after="160"/>
      </w:pPr>
      <w:r>
        <w:rPr>
          <w:rFonts w:ascii="Arial" w:hAnsi="Arial" w:eastAsia="Arial" w:cs="Arial"/>
          <w:b/>
          <w:bCs/>
          <w:color w:val="1F4E79"/>
          <w:sz w:val="32"/>
          <w:szCs w:val="32"/>
        </w:rPr>
        <w:t>一、技术领域</w:t>
      </w:r>
    </w:p>
    <w:p w14:paraId="4A55A28A">
      <w:pPr>
        <w:spacing w:before="60" w:after="60"/>
        <w:jc w:val="both"/>
      </w:pPr>
      <w:r>
        <w:rPr>
          <w:rFonts w:ascii="Arial" w:hAnsi="Arial" w:eastAsia="Arial" w:cs="Arial"/>
          <w:sz w:val="22"/>
          <w:szCs w:val="22"/>
        </w:rPr>
        <w:t>本发明涉及车联网（IoV）平台的可观测性技术领域，具体涉及一种在不对车载终端（TBox）进行任何改造的前提下，通过业务关联标识与分布式追踪上下文存储机制，跨越异构通信边界（包括基于Netty长连接协议的新能源车通信通道和基于MQTT协议的燃油车通信通道）实现远控指令完整链路追踪缝合的方法、系统及存储介质。</w:t>
      </w:r>
    </w:p>
    <w:p w14:paraId="693BEDC3">
      <w:pPr>
        <w:spacing w:before="0" w:after="0"/>
      </w:pPr>
    </w:p>
    <w:p w14:paraId="77A4B1B7">
      <w:pPr>
        <w:pStyle w:val="2"/>
        <w:pBdr>
          <w:bottom w:val="single" w:color="2E75B6" w:sz="6" w:space="1"/>
        </w:pBdr>
        <w:spacing w:before="320" w:after="160"/>
      </w:pPr>
      <w:r>
        <w:rPr>
          <w:rFonts w:ascii="Arial" w:hAnsi="Arial" w:eastAsia="Arial" w:cs="Arial"/>
          <w:b/>
          <w:bCs/>
          <w:color w:val="1F4E79"/>
          <w:sz w:val="32"/>
          <w:szCs w:val="32"/>
        </w:rPr>
        <w:t>二、背景技术</w:t>
      </w:r>
    </w:p>
    <w:p w14:paraId="09C3D0EC">
      <w:pPr>
        <w:spacing w:before="60" w:after="60"/>
        <w:jc w:val="both"/>
      </w:pPr>
      <w:r>
        <w:rPr>
          <w:rFonts w:ascii="Arial" w:hAnsi="Arial" w:eastAsia="Arial" w:cs="Arial"/>
          <w:sz w:val="22"/>
          <w:szCs w:val="22"/>
        </w:rPr>
        <w:t>随着车联网技术的快速发展，TSP（Telematics Service Platform）平台承担着向车辆下发远程控制指令并收集执行结果的核心职能。一次完整的远控业务流程通常涵盖十余个微服务节点和多种异构消息中间件，端到端耗时从数秒到数十秒不等。</w:t>
      </w:r>
    </w:p>
    <w:p w14:paraId="100DE455">
      <w:pPr>
        <w:spacing w:before="0" w:after="0"/>
      </w:pPr>
    </w:p>
    <w:p w14:paraId="7CF38491">
      <w:pPr>
        <w:spacing w:before="60" w:after="60"/>
        <w:jc w:val="both"/>
      </w:pPr>
      <w:r>
        <w:rPr>
          <w:rFonts w:ascii="Arial" w:hAnsi="Arial" w:eastAsia="Arial" w:cs="Arial"/>
          <w:sz w:val="22"/>
          <w:szCs w:val="22"/>
        </w:rPr>
        <w:t>现有技术存在以下问题：</w:t>
      </w:r>
    </w:p>
    <w:p w14:paraId="526100C8">
      <w:pPr>
        <w:pStyle w:val="16"/>
        <w:numPr>
          <w:ilvl w:val="0"/>
          <w:numId w:val="1"/>
        </w:numPr>
        <w:spacing w:before="40" w:after="40"/>
      </w:pPr>
      <w:r>
        <w:rPr>
          <w:rFonts w:ascii="Arial" w:hAnsi="Arial" w:eastAsia="Arial" w:cs="Arial"/>
          <w:sz w:val="22"/>
          <w:szCs w:val="22"/>
        </w:rPr>
        <w:t>链路追踪断裂问题：OpenTelemetry（OTel）等分布式追踪框架通过在HTTP Header中传递traceparent字段实现链路上下文传播。然而，在远控指令下发至TBox的关键环节，由于TBox硬件资源受限且不具备OTel链路追踪能力，traceparent字段无法注入至TBox的通信层，导致下发链路（Trace-A）和上报链路（Trace-B）在TBox通信边界处发生不可恢复的断裂。</w:t>
      </w:r>
    </w:p>
    <w:p w14:paraId="5FCE6107">
      <w:pPr>
        <w:pStyle w:val="16"/>
        <w:numPr>
          <w:ilvl w:val="0"/>
          <w:numId w:val="1"/>
        </w:numPr>
        <w:spacing w:before="40" w:after="40"/>
      </w:pPr>
      <w:r>
        <w:rPr>
          <w:rFonts w:ascii="Arial" w:hAnsi="Arial" w:eastAsia="Arial" w:cs="Arial"/>
          <w:sz w:val="22"/>
          <w:szCs w:val="22"/>
        </w:rPr>
        <w:t>异构通信协议差异：不同车型使用完全不同的通信协议——新能源车采用Kafka消息队列结合Netty长连接通道（evgb-gateway）与TBox通信，燃油车则通过EMQX消息代理基于MQTT协议与TBox通信。现有的链路追踪解决方案无法统一处理上述两种异构通信场景。</w:t>
      </w:r>
    </w:p>
    <w:p w14:paraId="265495E9">
      <w:pPr>
        <w:pStyle w:val="16"/>
        <w:numPr>
          <w:ilvl w:val="0"/>
          <w:numId w:val="1"/>
        </w:numPr>
        <w:spacing w:before="40" w:after="40"/>
      </w:pPr>
      <w:r>
        <w:rPr>
          <w:rFonts w:ascii="Arial" w:hAnsi="Arial" w:eastAsia="Arial" w:cs="Arial"/>
          <w:sz w:val="22"/>
          <w:szCs w:val="22"/>
        </w:rPr>
        <w:t>业务上下文丢失问题：在Kafka消费线程中，由于线程切换，OTel Baggage上下文（含租户ID、业务渠道、VIN码等多维业务属性）会随线程切换而丢失，导致上报链路的Span缺乏完整的业务维度信息，影响后续的多维分析和故障定位。</w:t>
      </w:r>
    </w:p>
    <w:p w14:paraId="3861FE47">
      <w:pPr>
        <w:pStyle w:val="16"/>
        <w:numPr>
          <w:ilvl w:val="0"/>
          <w:numId w:val="1"/>
        </w:numPr>
        <w:spacing w:before="40" w:after="40"/>
      </w:pPr>
      <w:r>
        <w:rPr>
          <w:rFonts w:ascii="Arial" w:hAnsi="Arial" w:eastAsia="Arial" w:cs="Arial"/>
          <w:sz w:val="22"/>
          <w:szCs w:val="22"/>
        </w:rPr>
        <w:t>TBox改造成本极高：TBox固件升级周期长、成本高，任何需要TBox配合的链路缝合方案均面临极大的工程阻力，且可能影响车辆安全性认证。</w:t>
      </w:r>
    </w:p>
    <w:p w14:paraId="08D99D0E">
      <w:pPr>
        <w:spacing w:before="0" w:after="0"/>
      </w:pPr>
    </w:p>
    <w:p w14:paraId="5DC64338">
      <w:pPr>
        <w:spacing w:before="60" w:after="60"/>
        <w:jc w:val="both"/>
      </w:pPr>
      <w:r>
        <w:rPr>
          <w:rFonts w:ascii="Arial" w:hAnsi="Arial" w:eastAsia="Arial" w:cs="Arial"/>
          <w:sz w:val="22"/>
          <w:szCs w:val="22"/>
        </w:rPr>
        <w:t>上述问题导致运维人员无法从可观测性平台完整地观测一次远控指令从App发起到TBox执行完成并将结果推送回App的全链路状态，严重制约了车联网平台的故障诊断效率和用户体验优化能力。</w:t>
      </w:r>
    </w:p>
    <w:p w14:paraId="769FA2BB">
      <w:pPr>
        <w:spacing w:before="0" w:after="0"/>
      </w:pPr>
    </w:p>
    <w:p w14:paraId="45BBC80D">
      <w:pPr>
        <w:pStyle w:val="2"/>
        <w:pBdr>
          <w:bottom w:val="single" w:color="2E75B6" w:sz="6" w:space="1"/>
        </w:pBdr>
        <w:spacing w:before="320" w:after="160"/>
      </w:pPr>
      <w:r>
        <w:rPr>
          <w:rFonts w:ascii="Arial" w:hAnsi="Arial" w:eastAsia="Arial" w:cs="Arial"/>
          <w:b/>
          <w:bCs/>
          <w:color w:val="1F4E79"/>
          <w:sz w:val="32"/>
          <w:szCs w:val="32"/>
        </w:rPr>
        <w:t>三、发明内容</w:t>
      </w:r>
    </w:p>
    <w:p w14:paraId="69AEE304">
      <w:pPr>
        <w:pStyle w:val="3"/>
        <w:spacing w:before="240" w:after="120"/>
      </w:pPr>
      <w:r>
        <w:rPr>
          <w:rFonts w:ascii="Arial" w:hAnsi="Arial" w:eastAsia="Arial" w:cs="Arial"/>
          <w:b/>
          <w:bCs/>
          <w:color w:val="1F4E79"/>
          <w:sz w:val="28"/>
          <w:szCs w:val="28"/>
        </w:rPr>
        <w:t>3.1 发明目的</w:t>
      </w:r>
    </w:p>
    <w:p w14:paraId="417FFD2E">
      <w:pPr>
        <w:spacing w:before="60" w:after="60"/>
        <w:jc w:val="both"/>
      </w:pPr>
      <w:r>
        <w:rPr>
          <w:rFonts w:ascii="Arial" w:hAnsi="Arial" w:eastAsia="Arial" w:cs="Arial"/>
          <w:sz w:val="22"/>
          <w:szCs w:val="22"/>
        </w:rPr>
        <w:t>针对现有技术的不足，本发明提供一种车联网平台跨异构通信边界的远控链路追踪缝合方法，在不对TBox端进行任何硬件或软件改造的前提下，利用远控业务中固有的全局唯一下发标识（sendId）作为链路关联锚点，通过分布式缓存存储链路上下文、OTel Span Link机制建立跨Trace关联、setParent强制复用TraceID三项核心技术的协同，实现新能源车和燃油车两种异构通信体系下远控链路的完整缝合。</w:t>
      </w:r>
    </w:p>
    <w:p w14:paraId="3C287E06">
      <w:pPr>
        <w:spacing w:before="0" w:after="0"/>
      </w:pPr>
    </w:p>
    <w:p w14:paraId="55700E7A">
      <w:pPr>
        <w:pStyle w:val="3"/>
        <w:spacing w:before="240" w:after="120"/>
      </w:pPr>
      <w:r>
        <w:rPr>
          <w:rFonts w:ascii="Arial" w:hAnsi="Arial" w:eastAsia="Arial" w:cs="Arial"/>
          <w:b/>
          <w:bCs/>
          <w:color w:val="1F4E79"/>
          <w:sz w:val="28"/>
          <w:szCs w:val="28"/>
        </w:rPr>
        <w:t>3.2 技术方案</w:t>
      </w:r>
    </w:p>
    <w:p w14:paraId="4ED41E26">
      <w:pPr>
        <w:pStyle w:val="4"/>
        <w:spacing w:before="180" w:after="80"/>
      </w:pPr>
      <w:r>
        <w:rPr>
          <w:rFonts w:ascii="Arial" w:hAnsi="Arial" w:eastAsia="Arial" w:cs="Arial"/>
          <w:b/>
          <w:bCs/>
          <w:color w:val="595959"/>
          <w:sz w:val="24"/>
          <w:szCs w:val="24"/>
        </w:rPr>
        <w:t>3.2.1 总体架构</w:t>
      </w:r>
    </w:p>
    <w:p w14:paraId="66F51662">
      <w:pPr>
        <w:spacing w:before="60" w:after="60"/>
        <w:jc w:val="both"/>
      </w:pPr>
      <w:r>
        <w:rPr>
          <w:rFonts w:ascii="Arial" w:hAnsi="Arial" w:eastAsia="Arial" w:cs="Arial"/>
          <w:sz w:val="22"/>
          <w:szCs w:val="22"/>
        </w:rPr>
        <w:t>本发明提出的方法基于'下发时写入、上报时读取、缝合后清除'的三阶段处理原则，其核心架构包含以下四个技术组件：</w:t>
      </w:r>
    </w:p>
    <w:p w14:paraId="15F4076C">
      <w:pPr>
        <w:pStyle w:val="16"/>
        <w:numPr>
          <w:ilvl w:val="0"/>
          <w:numId w:val="1"/>
        </w:numPr>
        <w:spacing w:before="40" w:after="40"/>
      </w:pPr>
      <w:r>
        <w:rPr>
          <w:rFonts w:ascii="Arial" w:hAnsi="Arial" w:eastAsia="Arial" w:cs="Arial"/>
          <w:sz w:val="22"/>
          <w:szCs w:val="22"/>
        </w:rPr>
        <w:t>sendId关联锚点：复用TSP业务侧已有的全局唯一下发标识sendId，将其作为连接下发链路与上报链路的业务关联锚点。</w:t>
      </w:r>
    </w:p>
    <w:p w14:paraId="72E19423">
      <w:pPr>
        <w:pStyle w:val="16"/>
        <w:numPr>
          <w:ilvl w:val="0"/>
          <w:numId w:val="1"/>
        </w:numPr>
        <w:spacing w:before="40" w:after="40"/>
      </w:pPr>
      <w:r>
        <w:rPr>
          <w:rFonts w:ascii="Arial" w:hAnsi="Arial" w:eastAsia="Arial" w:cs="Arial"/>
          <w:sz w:val="22"/>
          <w:szCs w:val="22"/>
        </w:rPr>
        <w:t>分布式缓存关联存储：以sendId为索引键，在Redis中存储下发时刻的OTel链路上下文及多维业务属性，形成链路上下文的持久化缓冲。</w:t>
      </w:r>
    </w:p>
    <w:p w14:paraId="69F4A96D">
      <w:pPr>
        <w:pStyle w:val="16"/>
        <w:numPr>
          <w:ilvl w:val="0"/>
          <w:numId w:val="1"/>
        </w:numPr>
        <w:spacing w:before="40" w:after="40"/>
      </w:pPr>
      <w:r>
        <w:rPr>
          <w:rFonts w:ascii="Arial" w:hAnsi="Arial" w:eastAsia="Arial" w:cs="Arial"/>
          <w:sz w:val="22"/>
          <w:szCs w:val="22"/>
        </w:rPr>
        <w:t>OTel Span Link缝合机制：在上报链路的首个Span中，通过setParent方法强制指定父上下文为下发链路的dispatch Span，同时通过addLink方法建立Span Link携带TBox黑盒耗时等关键指标。</w:t>
      </w:r>
    </w:p>
    <w:p w14:paraId="5C430629">
      <w:pPr>
        <w:pStyle w:val="16"/>
        <w:numPr>
          <w:ilvl w:val="0"/>
          <w:numId w:val="1"/>
        </w:numPr>
        <w:spacing w:before="40" w:after="40"/>
      </w:pPr>
      <w:r>
        <w:rPr>
          <w:rFonts w:ascii="Arial" w:hAnsi="Arial" w:eastAsia="Arial" w:cs="Arial"/>
          <w:sz w:val="22"/>
          <w:szCs w:val="22"/>
        </w:rPr>
        <w:t>多维业务属性补偿：从Redis关联存储中读取Baggage丢失的业务属性，主动写入上报链路Span的Attributes，确保全链路业务上下文完整性。</w:t>
      </w:r>
    </w:p>
    <w:p w14:paraId="3CB699C4">
      <w:pPr>
        <w:spacing w:before="0" w:after="0"/>
      </w:pPr>
    </w:p>
    <w:p w14:paraId="22720DF4">
      <w:pPr>
        <w:pStyle w:val="4"/>
        <w:spacing w:before="180" w:after="80"/>
      </w:pPr>
      <w:r>
        <w:rPr>
          <w:rFonts w:ascii="Arial" w:hAnsi="Arial" w:eastAsia="Arial" w:cs="Arial"/>
          <w:b/>
          <w:bCs/>
          <w:color w:val="595959"/>
          <w:sz w:val="24"/>
          <w:szCs w:val="24"/>
        </w:rPr>
        <w:t>3.2.2 新能源车链路缝合方法（Part A）</w:t>
      </w:r>
    </w:p>
    <w:p w14:paraId="22CC1303">
      <w:pPr>
        <w:spacing w:before="60" w:after="60"/>
        <w:jc w:val="both"/>
      </w:pPr>
      <w:r>
        <w:rPr>
          <w:rFonts w:ascii="Arial" w:hAnsi="Arial" w:eastAsia="Arial" w:cs="Arial"/>
          <w:sz w:val="22"/>
          <w:szCs w:val="22"/>
        </w:rPr>
        <w:t>新能源车远控通信通道为：remote-service → Kafka → evgb-gateway（Netty长连接）→ TBox，链路断裂点位于evgb-gateway至TBox的Netty长连接边界。缝合步骤如下：</w:t>
      </w:r>
    </w:p>
    <w:p w14:paraId="511E475C">
      <w:pPr>
        <w:pStyle w:val="16"/>
        <w:numPr>
          <w:ilvl w:val="0"/>
          <w:numId w:val="2"/>
        </w:numPr>
        <w:spacing w:before="40" w:after="40"/>
      </w:pPr>
      <w:r>
        <w:rPr>
          <w:rFonts w:ascii="Arial" w:hAnsi="Arial" w:eastAsia="Arial" w:cs="Arial"/>
          <w:sz w:val="22"/>
          <w:szCs w:val="22"/>
        </w:rPr>
        <w:t>下发阶段：在远控指令通过Kafka下发至evgb-gateway之前，创建rc.command.dispatch类型的OTel Span；提取当前traceId和spanId；从OTel Baggage中提取多维业务属性；以sendId为Key写入Redis，设置TTL为24小时；将sendId随远控指令消息体一并写入Kafka。</w:t>
      </w:r>
    </w:p>
    <w:p w14:paraId="0956309E">
      <w:pPr>
        <w:pStyle w:val="16"/>
        <w:numPr>
          <w:ilvl w:val="0"/>
          <w:numId w:val="2"/>
        </w:numPr>
        <w:spacing w:before="40" w:after="40"/>
      </w:pPr>
      <w:r>
        <w:rPr>
          <w:rFonts w:ascii="Arial" w:hAnsi="Arial" w:eastAsia="Arial" w:cs="Arial"/>
          <w:sz w:val="22"/>
          <w:szCs w:val="22"/>
        </w:rPr>
        <w:t>TBox黑盒执行阶段（不感知、不改造）：TBox通过Netty长连接接收指令，执行后将执行结果及原sendId原样上报至evgb-gateway，evgb-gateway将含sendId的结果消息写入Kafka。</w:t>
      </w:r>
    </w:p>
    <w:p w14:paraId="799C6DD2">
      <w:pPr>
        <w:pStyle w:val="16"/>
        <w:numPr>
          <w:ilvl w:val="0"/>
          <w:numId w:val="2"/>
        </w:numPr>
        <w:spacing w:before="40" w:after="40"/>
      </w:pPr>
      <w:r>
        <w:rPr>
          <w:rFonts w:ascii="Arial" w:hAnsi="Arial" w:eastAsia="Arial" w:cs="Arial"/>
          <w:sz w:val="22"/>
          <w:szCs w:val="22"/>
        </w:rPr>
        <w:t>上报缝合阶段：remote-service消费Kafka结果消息，提取sendId查询Redis；调用SpanContext.createFromRemoteParent重建dispatch Span上下文引用；通过setParent使上报Span复用下发链路traceId；通过addLink建立Span Link携带黑盒耗时；从Redis补偿Baggage丢失字段；处理完成后清除Redis关联存储。</w:t>
      </w:r>
    </w:p>
    <w:p w14:paraId="1F9E9DA5">
      <w:pPr>
        <w:spacing w:before="0" w:after="0"/>
      </w:pPr>
    </w:p>
    <w:p w14:paraId="6DE8479D">
      <w:pPr>
        <w:pStyle w:val="4"/>
        <w:spacing w:before="180" w:after="80"/>
      </w:pPr>
      <w:r>
        <w:rPr>
          <w:rFonts w:ascii="Arial" w:hAnsi="Arial" w:eastAsia="Arial" w:cs="Arial"/>
          <w:b/>
          <w:bCs/>
          <w:color w:val="595959"/>
          <w:sz w:val="24"/>
          <w:szCs w:val="24"/>
        </w:rPr>
        <w:t>3.2.3 燃油车链路缝合方法（Part B）</w:t>
      </w:r>
    </w:p>
    <w:p w14:paraId="413815C4">
      <w:pPr>
        <w:spacing w:before="60" w:after="60"/>
        <w:jc w:val="both"/>
      </w:pPr>
      <w:r>
        <w:rPr>
          <w:rFonts w:ascii="Arial" w:hAnsi="Arial" w:eastAsia="Arial" w:cs="Arial"/>
          <w:sz w:val="22"/>
          <w:szCs w:val="22"/>
        </w:rPr>
        <w:t>燃油车远控通信通道为：fv-remote → Kafka → fvgb-down-gateway → EMQX-TBox（MQTT）→ TBox。燃油车方案复用Part A的核心组件（RcTraceCorrelationService），下发核心服务为fv-remote，上报路径经fvgb-up-gateway和app-pushmsg，最终由lion-pushagent通过EMQX-App推送至App端。</w:t>
      </w:r>
    </w:p>
    <w:p w14:paraId="78A9FE3F">
      <w:pPr>
        <w:spacing w:before="0" w:after="0"/>
      </w:pPr>
    </w:p>
    <w:p w14:paraId="1C5F0555">
      <w:pPr>
        <w:pStyle w:val="4"/>
        <w:spacing w:before="180" w:after="80"/>
      </w:pPr>
      <w:r>
        <w:rPr>
          <w:rFonts w:ascii="Arial" w:hAnsi="Arial" w:eastAsia="Arial" w:cs="Arial"/>
          <w:b/>
          <w:bCs/>
          <w:color w:val="595959"/>
          <w:sz w:val="24"/>
          <w:szCs w:val="24"/>
        </w:rPr>
        <w:t>3.2.4 sendId关联存储数据结构</w:t>
      </w: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2200"/>
        <w:gridCol w:w="5160"/>
      </w:tblGrid>
      <w:tr w14:paraId="1FEFD1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BBBBB" w:sz="0" w:space="0"/>
              <w:left w:val="single" w:color="BBBBBB" w:sz="0" w:space="0"/>
              <w:bottom w:val="single" w:color="BBBBBB" w:sz="0" w:space="0"/>
              <w:right w:val="single" w:color="BBBBBB" w:sz="0" w:space="0"/>
            </w:tcBorders>
            <w:shd w:val="clear" w:color="auto" w:fill="1F4E79"/>
            <w:tcMar>
              <w:top w:w="80" w:type="dxa"/>
              <w:left w:w="120" w:type="dxa"/>
              <w:bottom w:w="80" w:type="dxa"/>
              <w:right w:w="120" w:type="dxa"/>
            </w:tcMar>
            <w:vAlign w:val="center"/>
          </w:tcPr>
          <w:p w14:paraId="5C5848D1">
            <w:pPr>
              <w:jc w:val="center"/>
            </w:pPr>
            <w:r>
              <w:rPr>
                <w:rFonts w:ascii="Arial" w:hAnsi="Arial" w:eastAsia="Arial" w:cs="Arial"/>
                <w:b/>
                <w:bCs/>
                <w:color w:val="FFFFFF"/>
                <w:sz w:val="20"/>
                <w:szCs w:val="20"/>
              </w:rPr>
              <w:t>字段名</w:t>
            </w:r>
          </w:p>
        </w:tc>
        <w:tc>
          <w:tcPr>
            <w:tcW w:w="2200" w:type="dxa"/>
            <w:tcBorders>
              <w:top w:val="single" w:color="BBBBBB" w:sz="0" w:space="0"/>
              <w:left w:val="single" w:color="BBBBBB" w:sz="0" w:space="0"/>
              <w:bottom w:val="single" w:color="BBBBBB" w:sz="0" w:space="0"/>
              <w:right w:val="single" w:color="BBBBBB" w:sz="0" w:space="0"/>
            </w:tcBorders>
            <w:shd w:val="clear" w:color="auto" w:fill="1F4E79"/>
            <w:tcMar>
              <w:top w:w="80" w:type="dxa"/>
              <w:left w:w="120" w:type="dxa"/>
              <w:bottom w:w="80" w:type="dxa"/>
              <w:right w:w="120" w:type="dxa"/>
            </w:tcMar>
            <w:vAlign w:val="center"/>
          </w:tcPr>
          <w:p w14:paraId="260735D5">
            <w:pPr>
              <w:jc w:val="center"/>
            </w:pPr>
            <w:r>
              <w:rPr>
                <w:rFonts w:ascii="Arial" w:hAnsi="Arial" w:eastAsia="Arial" w:cs="Arial"/>
                <w:b/>
                <w:bCs/>
                <w:color w:val="FFFFFF"/>
                <w:sz w:val="20"/>
                <w:szCs w:val="20"/>
              </w:rPr>
              <w:t>数据类型</w:t>
            </w:r>
          </w:p>
        </w:tc>
        <w:tc>
          <w:tcPr>
            <w:tcW w:w="5160" w:type="dxa"/>
            <w:tcBorders>
              <w:top w:val="single" w:color="BBBBBB" w:sz="0" w:space="0"/>
              <w:left w:val="single" w:color="BBBBBB" w:sz="0" w:space="0"/>
              <w:bottom w:val="single" w:color="BBBBBB" w:sz="0" w:space="0"/>
              <w:right w:val="single" w:color="BBBBBB" w:sz="0" w:space="0"/>
            </w:tcBorders>
            <w:shd w:val="clear" w:color="auto" w:fill="1F4E79"/>
            <w:tcMar>
              <w:top w:w="80" w:type="dxa"/>
              <w:left w:w="120" w:type="dxa"/>
              <w:bottom w:w="80" w:type="dxa"/>
              <w:right w:w="120" w:type="dxa"/>
            </w:tcMar>
            <w:vAlign w:val="center"/>
          </w:tcPr>
          <w:p w14:paraId="5EAF28B7">
            <w:pPr>
              <w:jc w:val="center"/>
            </w:pPr>
            <w:r>
              <w:rPr>
                <w:rFonts w:ascii="Arial" w:hAnsi="Arial" w:eastAsia="Arial" w:cs="Arial"/>
                <w:b/>
                <w:bCs/>
                <w:color w:val="FFFFFF"/>
                <w:sz w:val="20"/>
                <w:szCs w:val="20"/>
              </w:rPr>
              <w:t>说明</w:t>
            </w:r>
          </w:p>
        </w:tc>
      </w:tr>
      <w:tr w14:paraId="3455A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BBBBB" w:sz="0" w:space="0"/>
              <w:left w:val="single" w:color="BBBBBB" w:sz="0" w:space="0"/>
              <w:bottom w:val="single" w:color="BBBBBB" w:sz="0" w:space="0"/>
              <w:right w:val="single" w:color="BBBBBB" w:sz="0" w:space="0"/>
            </w:tcBorders>
            <w:shd w:val="clear" w:color="auto" w:fill="D6E4F0"/>
            <w:tcMar>
              <w:top w:w="80" w:type="dxa"/>
              <w:left w:w="120" w:type="dxa"/>
              <w:bottom w:w="80" w:type="dxa"/>
              <w:right w:w="120" w:type="dxa"/>
            </w:tcMar>
          </w:tcPr>
          <w:p w14:paraId="716BB3AC">
            <w:r>
              <w:rPr>
                <w:rFonts w:ascii="Arial" w:hAnsi="Arial" w:eastAsia="Arial" w:cs="Arial"/>
                <w:b w:val="0"/>
                <w:bCs w:val="0"/>
                <w:sz w:val="20"/>
                <w:szCs w:val="20"/>
              </w:rPr>
              <w:t>traceId</w:t>
            </w:r>
          </w:p>
        </w:tc>
        <w:tc>
          <w:tcPr>
            <w:tcW w:w="22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170967B3">
            <w:r>
              <w:rPr>
                <w:rFonts w:ascii="Arial" w:hAnsi="Arial" w:eastAsia="Arial" w:cs="Arial"/>
                <w:b w:val="0"/>
                <w:bCs w:val="0"/>
                <w:sz w:val="20"/>
                <w:szCs w:val="20"/>
              </w:rPr>
              <w:t>String</w:t>
            </w:r>
          </w:p>
        </w:tc>
        <w:tc>
          <w:tcPr>
            <w:tcW w:w="51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12C0F04C">
            <w:r>
              <w:rPr>
                <w:rFonts w:ascii="Arial" w:hAnsi="Arial" w:eastAsia="Arial" w:cs="Arial"/>
                <w:b w:val="0"/>
                <w:bCs w:val="0"/>
                <w:sz w:val="20"/>
                <w:szCs w:val="20"/>
              </w:rPr>
              <w:t>下发链路的OTel TraceID</w:t>
            </w:r>
          </w:p>
        </w:tc>
      </w:tr>
      <w:tr w14:paraId="1A47BC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55E75312">
            <w:r>
              <w:rPr>
                <w:rFonts w:ascii="Arial" w:hAnsi="Arial" w:eastAsia="Arial" w:cs="Arial"/>
                <w:b w:val="0"/>
                <w:bCs w:val="0"/>
                <w:sz w:val="20"/>
                <w:szCs w:val="20"/>
              </w:rPr>
              <w:t>parentSpanId</w:t>
            </w:r>
          </w:p>
        </w:tc>
        <w:tc>
          <w:tcPr>
            <w:tcW w:w="22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4C47FFA7">
            <w:r>
              <w:rPr>
                <w:rFonts w:ascii="Arial" w:hAnsi="Arial" w:eastAsia="Arial" w:cs="Arial"/>
                <w:b w:val="0"/>
                <w:bCs w:val="0"/>
                <w:sz w:val="20"/>
                <w:szCs w:val="20"/>
              </w:rPr>
              <w:t>String</w:t>
            </w:r>
          </w:p>
        </w:tc>
        <w:tc>
          <w:tcPr>
            <w:tcW w:w="51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073A3D3C">
            <w:r>
              <w:rPr>
                <w:rFonts w:ascii="Arial" w:hAnsi="Arial" w:eastAsia="Arial" w:cs="Arial"/>
                <w:b w:val="0"/>
                <w:bCs w:val="0"/>
                <w:sz w:val="20"/>
                <w:szCs w:val="20"/>
              </w:rPr>
              <w:t>dispatch Span的SpanID，用于重建父上下文</w:t>
            </w:r>
          </w:p>
        </w:tc>
      </w:tr>
      <w:tr w14:paraId="155326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BBBBB" w:sz="0" w:space="0"/>
              <w:left w:val="single" w:color="BBBBBB" w:sz="0" w:space="0"/>
              <w:bottom w:val="single" w:color="BBBBBB" w:sz="0" w:space="0"/>
              <w:right w:val="single" w:color="BBBBBB" w:sz="0" w:space="0"/>
            </w:tcBorders>
            <w:shd w:val="clear" w:color="auto" w:fill="D6E4F0"/>
            <w:tcMar>
              <w:top w:w="80" w:type="dxa"/>
              <w:left w:w="120" w:type="dxa"/>
              <w:bottom w:w="80" w:type="dxa"/>
              <w:right w:w="120" w:type="dxa"/>
            </w:tcMar>
          </w:tcPr>
          <w:p w14:paraId="16E3C679">
            <w:r>
              <w:rPr>
                <w:rFonts w:ascii="Arial" w:hAnsi="Arial" w:eastAsia="Arial" w:cs="Arial"/>
                <w:b w:val="0"/>
                <w:bCs w:val="0"/>
                <w:sz w:val="20"/>
                <w:szCs w:val="20"/>
              </w:rPr>
              <w:t>vin</w:t>
            </w:r>
          </w:p>
        </w:tc>
        <w:tc>
          <w:tcPr>
            <w:tcW w:w="22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126C84E0">
            <w:r>
              <w:rPr>
                <w:rFonts w:ascii="Arial" w:hAnsi="Arial" w:eastAsia="Arial" w:cs="Arial"/>
                <w:b w:val="0"/>
                <w:bCs w:val="0"/>
                <w:sz w:val="20"/>
                <w:szCs w:val="20"/>
              </w:rPr>
              <w:t>String</w:t>
            </w:r>
          </w:p>
        </w:tc>
        <w:tc>
          <w:tcPr>
            <w:tcW w:w="51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5A59F666">
            <w:r>
              <w:rPr>
                <w:rFonts w:ascii="Arial" w:hAnsi="Arial" w:eastAsia="Arial" w:cs="Arial"/>
                <w:b w:val="0"/>
                <w:bCs w:val="0"/>
                <w:sz w:val="20"/>
                <w:szCs w:val="20"/>
              </w:rPr>
              <w:t>车辆识别代码（VIN）</w:t>
            </w:r>
          </w:p>
        </w:tc>
      </w:tr>
      <w:tr w14:paraId="3A4A81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54FA84BB">
            <w:r>
              <w:rPr>
                <w:rFonts w:ascii="Arial" w:hAnsi="Arial" w:eastAsia="Arial" w:cs="Arial"/>
                <w:b w:val="0"/>
                <w:bCs w:val="0"/>
                <w:sz w:val="20"/>
                <w:szCs w:val="20"/>
              </w:rPr>
              <w:t>commandType</w:t>
            </w:r>
          </w:p>
        </w:tc>
        <w:tc>
          <w:tcPr>
            <w:tcW w:w="22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19018896">
            <w:r>
              <w:rPr>
                <w:rFonts w:ascii="Arial" w:hAnsi="Arial" w:eastAsia="Arial" w:cs="Arial"/>
                <w:b w:val="0"/>
                <w:bCs w:val="0"/>
                <w:sz w:val="20"/>
                <w:szCs w:val="20"/>
              </w:rPr>
              <w:t>String</w:t>
            </w:r>
          </w:p>
        </w:tc>
        <w:tc>
          <w:tcPr>
            <w:tcW w:w="51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74E283B3">
            <w:r>
              <w:rPr>
                <w:rFonts w:ascii="Arial" w:hAnsi="Arial" w:eastAsia="Arial" w:cs="Arial"/>
                <w:b w:val="0"/>
                <w:bCs w:val="0"/>
                <w:sz w:val="20"/>
                <w:szCs w:val="20"/>
              </w:rPr>
              <w:t>远控指令类型（如DOOR_UNLOCK）</w:t>
            </w:r>
          </w:p>
        </w:tc>
      </w:tr>
      <w:tr w14:paraId="12AB8C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BBBBB" w:sz="0" w:space="0"/>
              <w:left w:val="single" w:color="BBBBBB" w:sz="0" w:space="0"/>
              <w:bottom w:val="single" w:color="BBBBBB" w:sz="0" w:space="0"/>
              <w:right w:val="single" w:color="BBBBBB" w:sz="0" w:space="0"/>
            </w:tcBorders>
            <w:shd w:val="clear" w:color="auto" w:fill="D6E4F0"/>
            <w:tcMar>
              <w:top w:w="80" w:type="dxa"/>
              <w:left w:w="120" w:type="dxa"/>
              <w:bottom w:w="80" w:type="dxa"/>
              <w:right w:w="120" w:type="dxa"/>
            </w:tcMar>
          </w:tcPr>
          <w:p w14:paraId="2FE897F9">
            <w:r>
              <w:rPr>
                <w:rFonts w:ascii="Arial" w:hAnsi="Arial" w:eastAsia="Arial" w:cs="Arial"/>
                <w:b w:val="0"/>
                <w:bCs w:val="0"/>
                <w:sz w:val="20"/>
                <w:szCs w:val="20"/>
              </w:rPr>
              <w:t>tenantId</w:t>
            </w:r>
          </w:p>
        </w:tc>
        <w:tc>
          <w:tcPr>
            <w:tcW w:w="22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3466E5CE">
            <w:r>
              <w:rPr>
                <w:rFonts w:ascii="Arial" w:hAnsi="Arial" w:eastAsia="Arial" w:cs="Arial"/>
                <w:b w:val="0"/>
                <w:bCs w:val="0"/>
                <w:sz w:val="20"/>
                <w:szCs w:val="20"/>
              </w:rPr>
              <w:t>String</w:t>
            </w:r>
          </w:p>
        </w:tc>
        <w:tc>
          <w:tcPr>
            <w:tcW w:w="51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640E522B">
            <w:r>
              <w:rPr>
                <w:rFonts w:ascii="Arial" w:hAnsi="Arial" w:eastAsia="Arial" w:cs="Arial"/>
                <w:b w:val="0"/>
                <w:bCs w:val="0"/>
                <w:sz w:val="20"/>
                <w:szCs w:val="20"/>
              </w:rPr>
              <w:t>租户标识</w:t>
            </w:r>
          </w:p>
        </w:tc>
      </w:tr>
      <w:tr w14:paraId="30E0B2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7A92BBE0">
            <w:r>
              <w:rPr>
                <w:rFonts w:ascii="Arial" w:hAnsi="Arial" w:eastAsia="Arial" w:cs="Arial"/>
                <w:b w:val="0"/>
                <w:bCs w:val="0"/>
                <w:sz w:val="20"/>
                <w:szCs w:val="20"/>
              </w:rPr>
              <w:t>bizSystem</w:t>
            </w:r>
          </w:p>
        </w:tc>
        <w:tc>
          <w:tcPr>
            <w:tcW w:w="22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6FA8277C">
            <w:r>
              <w:rPr>
                <w:rFonts w:ascii="Arial" w:hAnsi="Arial" w:eastAsia="Arial" w:cs="Arial"/>
                <w:b w:val="0"/>
                <w:bCs w:val="0"/>
                <w:sz w:val="20"/>
                <w:szCs w:val="20"/>
              </w:rPr>
              <w:t>String</w:t>
            </w:r>
          </w:p>
        </w:tc>
        <w:tc>
          <w:tcPr>
            <w:tcW w:w="51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0E07E5F7">
            <w:r>
              <w:rPr>
                <w:rFonts w:ascii="Arial" w:hAnsi="Arial" w:eastAsia="Arial" w:cs="Arial"/>
                <w:b w:val="0"/>
                <w:bCs w:val="0"/>
                <w:sz w:val="20"/>
                <w:szCs w:val="20"/>
              </w:rPr>
              <w:t>TSP系统标识（stsp/ntsp）</w:t>
            </w:r>
          </w:p>
        </w:tc>
      </w:tr>
      <w:tr w14:paraId="39BA64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BBBBB" w:sz="0" w:space="0"/>
              <w:left w:val="single" w:color="BBBBBB" w:sz="0" w:space="0"/>
              <w:bottom w:val="single" w:color="BBBBBB" w:sz="0" w:space="0"/>
              <w:right w:val="single" w:color="BBBBBB" w:sz="0" w:space="0"/>
            </w:tcBorders>
            <w:shd w:val="clear" w:color="auto" w:fill="D6E4F0"/>
            <w:tcMar>
              <w:top w:w="80" w:type="dxa"/>
              <w:left w:w="120" w:type="dxa"/>
              <w:bottom w:w="80" w:type="dxa"/>
              <w:right w:w="120" w:type="dxa"/>
            </w:tcMar>
          </w:tcPr>
          <w:p w14:paraId="6DBF04C0">
            <w:r>
              <w:rPr>
                <w:rFonts w:ascii="Arial" w:hAnsi="Arial" w:eastAsia="Arial" w:cs="Arial"/>
                <w:b w:val="0"/>
                <w:bCs w:val="0"/>
                <w:sz w:val="20"/>
                <w:szCs w:val="20"/>
              </w:rPr>
              <w:t>bizChannel</w:t>
            </w:r>
          </w:p>
        </w:tc>
        <w:tc>
          <w:tcPr>
            <w:tcW w:w="22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06D1BC29">
            <w:r>
              <w:rPr>
                <w:rFonts w:ascii="Arial" w:hAnsi="Arial" w:eastAsia="Arial" w:cs="Arial"/>
                <w:b w:val="0"/>
                <w:bCs w:val="0"/>
                <w:sz w:val="20"/>
                <w:szCs w:val="20"/>
              </w:rPr>
              <w:t>String</w:t>
            </w:r>
          </w:p>
        </w:tc>
        <w:tc>
          <w:tcPr>
            <w:tcW w:w="51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73249B8E">
            <w:r>
              <w:rPr>
                <w:rFonts w:ascii="Arial" w:hAnsi="Arial" w:eastAsia="Arial" w:cs="Arial"/>
                <w:b w:val="0"/>
                <w:bCs w:val="0"/>
                <w:sz w:val="20"/>
                <w:szCs w:val="20"/>
              </w:rPr>
              <w:t>业务渠道，Baggage丢失后补偿</w:t>
            </w:r>
          </w:p>
        </w:tc>
      </w:tr>
      <w:tr w14:paraId="63874A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175CF21E">
            <w:r>
              <w:rPr>
                <w:rFonts w:ascii="Arial" w:hAnsi="Arial" w:eastAsia="Arial" w:cs="Arial"/>
                <w:b w:val="0"/>
                <w:bCs w:val="0"/>
                <w:sz w:val="20"/>
                <w:szCs w:val="20"/>
              </w:rPr>
              <w:t>dispatchTime</w:t>
            </w:r>
          </w:p>
        </w:tc>
        <w:tc>
          <w:tcPr>
            <w:tcW w:w="22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66B67D2B">
            <w:r>
              <w:rPr>
                <w:rFonts w:ascii="Arial" w:hAnsi="Arial" w:eastAsia="Arial" w:cs="Arial"/>
                <w:b w:val="0"/>
                <w:bCs w:val="0"/>
                <w:sz w:val="20"/>
                <w:szCs w:val="20"/>
              </w:rPr>
              <w:t>Long</w:t>
            </w:r>
          </w:p>
        </w:tc>
        <w:tc>
          <w:tcPr>
            <w:tcW w:w="51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259572FC">
            <w:r>
              <w:rPr>
                <w:rFonts w:ascii="Arial" w:hAnsi="Arial" w:eastAsia="Arial" w:cs="Arial"/>
                <w:b w:val="0"/>
                <w:bCs w:val="0"/>
                <w:sz w:val="20"/>
                <w:szCs w:val="20"/>
              </w:rPr>
              <w:t>下发时间戳（ms），计算TBox黑盒耗时</w:t>
            </w:r>
          </w:p>
        </w:tc>
      </w:tr>
    </w:tbl>
    <w:p w14:paraId="14F4461F">
      <w:pPr>
        <w:spacing w:before="0" w:after="0"/>
      </w:pPr>
    </w:p>
    <w:p w14:paraId="10E76C58">
      <w:pPr>
        <w:spacing w:before="60" w:after="60"/>
        <w:jc w:val="both"/>
      </w:pPr>
      <w:r>
        <w:rPr>
          <w:rFonts w:ascii="Arial" w:hAnsi="Arial" w:eastAsia="Arial" w:cs="Arial"/>
          <w:sz w:val="22"/>
          <w:szCs w:val="22"/>
        </w:rPr>
        <w:t>Key格式：rc:trace:{sendId}，TTL：24小时。</w:t>
      </w:r>
    </w:p>
    <w:p w14:paraId="3DD94360">
      <w:pPr>
        <w:spacing w:before="0" w:after="0"/>
      </w:pPr>
    </w:p>
    <w:p w14:paraId="220FFBBA">
      <w:pPr>
        <w:spacing w:before="0" w:after="0"/>
      </w:pPr>
    </w:p>
    <w:p w14:paraId="6F35840C">
      <w:pPr>
        <w:pStyle w:val="3"/>
        <w:spacing w:before="240" w:after="120"/>
      </w:pPr>
      <w:r>
        <w:rPr>
          <w:rFonts w:ascii="Arial" w:hAnsi="Arial" w:eastAsia="Arial" w:cs="Arial"/>
          <w:b/>
          <w:bCs/>
          <w:color w:val="1F4E79"/>
          <w:sz w:val="28"/>
          <w:szCs w:val="28"/>
        </w:rPr>
        <w:t>3.3 有益效果</w:t>
      </w:r>
    </w:p>
    <w:p w14:paraId="2D9FD070">
      <w:pPr>
        <w:pStyle w:val="16"/>
        <w:numPr>
          <w:ilvl w:val="0"/>
          <w:numId w:val="1"/>
        </w:numPr>
        <w:spacing w:before="40" w:after="40"/>
      </w:pPr>
      <w:r>
        <w:rPr>
          <w:rFonts w:ascii="Arial" w:hAnsi="Arial" w:eastAsia="Arial" w:cs="Arial"/>
          <w:sz w:val="22"/>
          <w:szCs w:val="22"/>
        </w:rPr>
        <w:t>TBox零改造：完全不依赖TBox的链路追踪能力，仅利用TBox现有的sendId回传机制。</w:t>
      </w:r>
    </w:p>
    <w:p w14:paraId="58990E84">
      <w:pPr>
        <w:pStyle w:val="16"/>
        <w:numPr>
          <w:ilvl w:val="0"/>
          <w:numId w:val="1"/>
        </w:numPr>
        <w:spacing w:before="40" w:after="40"/>
      </w:pPr>
      <w:r>
        <w:rPr>
          <w:rFonts w:ascii="Arial" w:hAnsi="Arial" w:eastAsia="Arial" w:cs="Arial"/>
          <w:sz w:val="22"/>
          <w:szCs w:val="22"/>
        </w:rPr>
        <w:t>异构协议统一：统一处理Netty长连接（新能源车）和MQTT（燃油车）两种异构通信场景。</w:t>
      </w:r>
    </w:p>
    <w:p w14:paraId="53DD3BA6">
      <w:pPr>
        <w:pStyle w:val="16"/>
        <w:numPr>
          <w:ilvl w:val="0"/>
          <w:numId w:val="1"/>
        </w:numPr>
        <w:spacing w:before="40" w:after="40"/>
      </w:pPr>
      <w:r>
        <w:rPr>
          <w:rFonts w:ascii="Arial" w:hAnsi="Arial" w:eastAsia="Arial" w:cs="Arial"/>
          <w:sz w:val="22"/>
          <w:szCs w:val="22"/>
        </w:rPr>
        <w:t>单一Trace完整视图：通过setParent机制使上报链路复用下发链路的traceId，在ClickHouse中形成完整Trace。</w:t>
      </w:r>
    </w:p>
    <w:p w14:paraId="47BE2A6F">
      <w:pPr>
        <w:pStyle w:val="16"/>
        <w:numPr>
          <w:ilvl w:val="0"/>
          <w:numId w:val="1"/>
        </w:numPr>
        <w:spacing w:before="40" w:after="40"/>
      </w:pPr>
      <w:r>
        <w:rPr>
          <w:rFonts w:ascii="Arial" w:hAnsi="Arial" w:eastAsia="Arial" w:cs="Arial"/>
          <w:sz w:val="22"/>
          <w:szCs w:val="22"/>
        </w:rPr>
        <w:t>黑盒耗时可量化：通过dispatchTime与上报时间戳的差值，精确计算TBox黑盒耗时。</w:t>
      </w:r>
    </w:p>
    <w:p w14:paraId="0D245C63">
      <w:pPr>
        <w:pStyle w:val="16"/>
        <w:numPr>
          <w:ilvl w:val="0"/>
          <w:numId w:val="1"/>
        </w:numPr>
        <w:spacing w:before="40" w:after="40"/>
      </w:pPr>
      <w:r>
        <w:rPr>
          <w:rFonts w:ascii="Arial" w:hAnsi="Arial" w:eastAsia="Arial" w:cs="Arial"/>
          <w:sz w:val="22"/>
          <w:szCs w:val="22"/>
        </w:rPr>
        <w:t>业务上下文完整：通过Redis关联存储补偿Kafka消费线程中丢失的OTel Baggage。</w:t>
      </w:r>
    </w:p>
    <w:p w14:paraId="2FE3B9D8">
      <w:pPr>
        <w:pStyle w:val="16"/>
        <w:numPr>
          <w:ilvl w:val="0"/>
          <w:numId w:val="1"/>
        </w:numPr>
        <w:spacing w:before="40" w:after="40"/>
      </w:pPr>
      <w:r>
        <w:rPr>
          <w:rFonts w:ascii="Arial" w:hAnsi="Arial" w:eastAsia="Arial" w:cs="Arial"/>
          <w:sz w:val="22"/>
          <w:szCs w:val="22"/>
        </w:rPr>
        <w:t>系统侵入性极低：核心改造集中在remote-service和fv-remote两个服务，其余服务无需改造。</w:t>
      </w:r>
    </w:p>
    <w:p w14:paraId="28DBA508">
      <w:pPr>
        <w:spacing w:before="0" w:after="0"/>
      </w:pPr>
    </w:p>
    <w:p w14:paraId="77D6C407">
      <w:pPr>
        <w:pageBreakBefore/>
      </w:pPr>
      <w:r>
        <w:br w:type="textWrapping"/>
      </w:r>
    </w:p>
    <w:p w14:paraId="0C6505CB">
      <w:pPr>
        <w:pStyle w:val="2"/>
        <w:pBdr>
          <w:bottom w:val="single" w:color="2E75B6" w:sz="6" w:space="1"/>
        </w:pBdr>
        <w:spacing w:before="320" w:after="160"/>
      </w:pPr>
      <w:r>
        <w:rPr>
          <w:rFonts w:ascii="Arial" w:hAnsi="Arial" w:eastAsia="Arial" w:cs="Arial"/>
          <w:b/>
          <w:bCs/>
          <w:color w:val="1F4E79"/>
          <w:sz w:val="32"/>
          <w:szCs w:val="32"/>
        </w:rPr>
        <w:t>四、附图说明</w:t>
      </w:r>
    </w:p>
    <w:p w14:paraId="7D534B7F">
      <w:pPr>
        <w:spacing w:before="60" w:after="60"/>
        <w:jc w:val="both"/>
      </w:pPr>
      <w:r>
        <w:rPr>
          <w:rFonts w:ascii="Arial" w:hAnsi="Arial" w:eastAsia="Arial" w:cs="Arial"/>
          <w:sz w:val="22"/>
          <w:szCs w:val="22"/>
        </w:rPr>
        <w:t>图1  本发明新能源车远控链路缝合总体架构示意图</w:t>
      </w:r>
    </w:p>
    <w:p w14:paraId="0AF530BF">
      <w:pPr>
        <w:spacing w:before="60" w:after="60"/>
        <w:jc w:val="both"/>
      </w:pPr>
      <w:r>
        <w:rPr>
          <w:rFonts w:ascii="Arial" w:hAnsi="Arial" w:eastAsia="Arial" w:cs="Arial"/>
          <w:sz w:val="22"/>
          <w:szCs w:val="22"/>
        </w:rPr>
        <w:t>图2  本发明燃油车远控链路缝合总体架构示意图</w:t>
      </w:r>
    </w:p>
    <w:p w14:paraId="300B05A7">
      <w:pPr>
        <w:spacing w:before="60" w:after="60"/>
        <w:jc w:val="both"/>
      </w:pPr>
      <w:r>
        <w:rPr>
          <w:rFonts w:ascii="Arial" w:hAnsi="Arial" w:eastAsia="Arial" w:cs="Arial"/>
          <w:sz w:val="22"/>
          <w:szCs w:val="22"/>
        </w:rPr>
        <w:t>图3  sendId关联存储Redis数据结构示意图</w:t>
      </w:r>
    </w:p>
    <w:p w14:paraId="2332AC80">
      <w:pPr>
        <w:spacing w:before="60" w:after="60"/>
        <w:jc w:val="both"/>
      </w:pPr>
      <w:r>
        <w:rPr>
          <w:rFonts w:ascii="Arial" w:hAnsi="Arial" w:eastAsia="Arial" w:cs="Arial"/>
          <w:sz w:val="22"/>
          <w:szCs w:val="22"/>
        </w:rPr>
        <w:t>图4  下发链路（Trace-A）Span树形结构示意图</w:t>
      </w:r>
    </w:p>
    <w:p w14:paraId="4880AB1D">
      <w:pPr>
        <w:spacing w:before="60" w:after="60"/>
        <w:jc w:val="both"/>
      </w:pPr>
      <w:r>
        <w:rPr>
          <w:rFonts w:ascii="Arial" w:hAnsi="Arial" w:eastAsia="Arial" w:cs="Arial"/>
          <w:sz w:val="22"/>
          <w:szCs w:val="22"/>
        </w:rPr>
        <w:t>图5  上报链路（Trace-B）Span树形结构及Span Link关联示意图</w:t>
      </w:r>
    </w:p>
    <w:p w14:paraId="45E046AF">
      <w:pPr>
        <w:spacing w:before="60" w:after="60"/>
        <w:jc w:val="both"/>
      </w:pPr>
      <w:r>
        <w:rPr>
          <w:rFonts w:ascii="Arial" w:hAnsi="Arial" w:eastAsia="Arial" w:cs="Arial"/>
          <w:sz w:val="22"/>
          <w:szCs w:val="22"/>
        </w:rPr>
        <w:t>图6  新能源车链路缝合时序图</w:t>
      </w:r>
    </w:p>
    <w:p w14:paraId="085259C2">
      <w:pPr>
        <w:spacing w:before="60" w:after="60"/>
        <w:jc w:val="both"/>
      </w:pPr>
      <w:r>
        <w:rPr>
          <w:rFonts w:ascii="Arial" w:hAnsi="Arial" w:eastAsia="Arial" w:cs="Arial"/>
          <w:sz w:val="22"/>
          <w:szCs w:val="22"/>
        </w:rPr>
        <w:t>图7  燃油车链路缝合时序图</w:t>
      </w:r>
    </w:p>
    <w:p w14:paraId="7707E174">
      <w:pPr>
        <w:spacing w:before="60" w:after="60"/>
        <w:jc w:val="both"/>
      </w:pPr>
      <w:r>
        <w:rPr>
          <w:rFonts w:ascii="Arial" w:hAnsi="Arial" w:eastAsia="Arial" w:cs="Arial"/>
          <w:sz w:val="22"/>
          <w:szCs w:val="22"/>
        </w:rPr>
        <w:t>图8  系统降级处理流程示意图</w:t>
      </w:r>
    </w:p>
    <w:p w14:paraId="45C0CE63">
      <w:pPr>
        <w:spacing w:before="60" w:after="60"/>
        <w:jc w:val="both"/>
      </w:pPr>
      <w:r>
        <w:rPr>
          <w:rFonts w:ascii="Arial" w:hAnsi="Arial" w:eastAsia="Arial" w:cs="Arial"/>
          <w:sz w:val="22"/>
          <w:szCs w:val="22"/>
        </w:rPr>
        <w:t>图9  ClickHouse存储的完整链路视图示意图</w:t>
      </w:r>
    </w:p>
    <w:p w14:paraId="53F53A5D">
      <w:pPr>
        <w:spacing w:before="60" w:after="60"/>
        <w:jc w:val="both"/>
      </w:pPr>
      <w:r>
        <w:rPr>
          <w:rFonts w:ascii="Arial" w:hAnsi="Arial" w:eastAsia="Arial" w:cs="Arial"/>
          <w:sz w:val="22"/>
          <w:szCs w:val="22"/>
        </w:rPr>
        <w:t>图10 远控链路监控看板虚拟TBox节点展示示意图</w:t>
      </w:r>
    </w:p>
    <w:p w14:paraId="1DA05E67">
      <w:pPr>
        <w:spacing w:before="0" w:after="0"/>
      </w:pPr>
    </w:p>
    <w:p w14:paraId="3A7C670C">
      <w:pPr>
        <w:spacing w:before="0" w:after="0"/>
      </w:pPr>
    </w:p>
    <w:p w14:paraId="15A6CBA3">
      <w:pPr>
        <w:pageBreakBefore/>
      </w:pPr>
      <w:r>
        <w:br w:type="textWrapping"/>
      </w:r>
    </w:p>
    <w:p w14:paraId="59552896">
      <w:pPr>
        <w:pStyle w:val="2"/>
        <w:pBdr>
          <w:bottom w:val="single" w:color="2E75B6" w:sz="6" w:space="1"/>
        </w:pBdr>
        <w:spacing w:before="320" w:after="160"/>
      </w:pPr>
      <w:r>
        <w:rPr>
          <w:rFonts w:ascii="Arial" w:hAnsi="Arial" w:eastAsia="Arial" w:cs="Arial"/>
          <w:b/>
          <w:bCs/>
          <w:color w:val="1F4E79"/>
          <w:sz w:val="32"/>
          <w:szCs w:val="32"/>
        </w:rPr>
        <w:t>五、附图</w:t>
      </w:r>
    </w:p>
    <w:p w14:paraId="02E99FBA">
      <w:pPr>
        <w:spacing w:before="0" w:after="0"/>
      </w:pPr>
    </w:p>
    <w:p w14:paraId="6C37BF3A">
      <w:pPr>
        <w:spacing w:before="120" w:after="80"/>
        <w:jc w:val="center"/>
      </w:pPr>
      <w:r>
        <w:drawing>
          <wp:inline distT="0" distB="0" distL="0" distR="0">
            <wp:extent cx="5487035" cy="3199130"/>
            <wp:effectExtent l="0" t="0" r="12065" b="127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6"/>
                    <a:srcRect/>
                    <a:stretch>
                      <a:fillRect/>
                    </a:stretch>
                  </pic:blipFill>
                  <pic:spPr>
                    <a:xfrm>
                      <a:off x="0" y="0"/>
                      <a:ext cx="5487035" cy="3199130"/>
                    </a:xfrm>
                    <a:prstGeom prst="rect">
                      <a:avLst/>
                    </a:prstGeom>
                  </pic:spPr>
                </pic:pic>
              </a:graphicData>
            </a:graphic>
          </wp:inline>
        </w:drawing>
      </w:r>
    </w:p>
    <w:p w14:paraId="7D844025">
      <w:pPr>
        <w:spacing w:before="40" w:after="200"/>
        <w:jc w:val="center"/>
      </w:pPr>
      <w:r>
        <w:rPr>
          <w:rFonts w:ascii="Arial" w:hAnsi="Arial" w:eastAsia="Arial" w:cs="Arial"/>
          <w:b/>
          <w:bCs/>
          <w:color w:val="1F4E79"/>
          <w:sz w:val="20"/>
          <w:szCs w:val="20"/>
        </w:rPr>
        <w:t>图1  新能源车远控链路缝合总体架构示意图（Part A）</w:t>
      </w:r>
    </w:p>
    <w:p w14:paraId="2308B41A">
      <w:pPr>
        <w:spacing w:before="0" w:after="0"/>
      </w:pPr>
    </w:p>
    <w:p w14:paraId="5D43C479">
      <w:pPr>
        <w:spacing w:before="120" w:after="80"/>
        <w:jc w:val="center"/>
      </w:pPr>
      <w:r>
        <w:drawing>
          <wp:inline distT="0" distB="0" distL="0" distR="0">
            <wp:extent cx="5195570" cy="2797175"/>
            <wp:effectExtent l="0" t="0" r="11430" b="952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7"/>
                    <a:srcRect/>
                    <a:stretch>
                      <a:fillRect/>
                    </a:stretch>
                  </pic:blipFill>
                  <pic:spPr>
                    <a:xfrm>
                      <a:off x="0" y="0"/>
                      <a:ext cx="5195570" cy="2797175"/>
                    </a:xfrm>
                    <a:prstGeom prst="rect">
                      <a:avLst/>
                    </a:prstGeom>
                  </pic:spPr>
                </pic:pic>
              </a:graphicData>
            </a:graphic>
          </wp:inline>
        </w:drawing>
      </w:r>
    </w:p>
    <w:p w14:paraId="1BF26E3A">
      <w:pPr>
        <w:spacing w:before="40" w:after="200"/>
        <w:jc w:val="center"/>
      </w:pPr>
      <w:r>
        <w:rPr>
          <w:rFonts w:ascii="Arial" w:hAnsi="Arial" w:eastAsia="Arial" w:cs="Arial"/>
          <w:b/>
          <w:bCs/>
          <w:color w:val="1F4E79"/>
          <w:sz w:val="20"/>
          <w:szCs w:val="20"/>
        </w:rPr>
        <w:t>图2  燃油车远控链路缝合总体架构示意图（Part B）</w:t>
      </w:r>
    </w:p>
    <w:p w14:paraId="5C4AD366">
      <w:pPr>
        <w:spacing w:before="0" w:after="0"/>
      </w:pPr>
    </w:p>
    <w:p w14:paraId="355D2925">
      <w:pPr>
        <w:pageBreakBefore/>
      </w:pPr>
      <w:r>
        <w:br w:type="textWrapping"/>
      </w:r>
    </w:p>
    <w:p w14:paraId="3C164F31">
      <w:pPr>
        <w:spacing w:before="120" w:after="80"/>
        <w:jc w:val="center"/>
      </w:pPr>
      <w:r>
        <w:drawing>
          <wp:inline distT="0" distB="0" distL="0" distR="0">
            <wp:extent cx="5306060" cy="3182620"/>
            <wp:effectExtent l="0" t="0" r="2540" b="508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8"/>
                    <a:srcRect/>
                    <a:stretch>
                      <a:fillRect/>
                    </a:stretch>
                  </pic:blipFill>
                  <pic:spPr>
                    <a:xfrm>
                      <a:off x="0" y="0"/>
                      <a:ext cx="5306060" cy="3182620"/>
                    </a:xfrm>
                    <a:prstGeom prst="rect">
                      <a:avLst/>
                    </a:prstGeom>
                  </pic:spPr>
                </pic:pic>
              </a:graphicData>
            </a:graphic>
          </wp:inline>
        </w:drawing>
      </w:r>
    </w:p>
    <w:p w14:paraId="3754D4F0">
      <w:pPr>
        <w:spacing w:before="40" w:after="200"/>
        <w:jc w:val="center"/>
      </w:pPr>
      <w:r>
        <w:rPr>
          <w:rFonts w:ascii="Arial" w:hAnsi="Arial" w:eastAsia="Arial" w:cs="Arial"/>
          <w:b/>
          <w:bCs/>
          <w:color w:val="1F4E79"/>
          <w:sz w:val="20"/>
          <w:szCs w:val="20"/>
        </w:rPr>
        <w:t>图3  sendId关联存储Redis数据结构示意图</w:t>
      </w:r>
    </w:p>
    <w:p w14:paraId="1E30F948">
      <w:pPr>
        <w:spacing w:before="0" w:after="0"/>
      </w:pPr>
    </w:p>
    <w:p w14:paraId="1039BAAA">
      <w:pPr>
        <w:spacing w:before="120" w:after="80"/>
        <w:jc w:val="center"/>
      </w:pPr>
      <w:r>
        <w:drawing>
          <wp:inline distT="0" distB="0" distL="0" distR="0">
            <wp:extent cx="5784215" cy="3133725"/>
            <wp:effectExtent l="0" t="0" r="6985" b="317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9"/>
                    <a:srcRect/>
                    <a:stretch>
                      <a:fillRect/>
                    </a:stretch>
                  </pic:blipFill>
                  <pic:spPr>
                    <a:xfrm>
                      <a:off x="0" y="0"/>
                      <a:ext cx="5784215" cy="3133725"/>
                    </a:xfrm>
                    <a:prstGeom prst="rect">
                      <a:avLst/>
                    </a:prstGeom>
                  </pic:spPr>
                </pic:pic>
              </a:graphicData>
            </a:graphic>
          </wp:inline>
        </w:drawing>
      </w:r>
    </w:p>
    <w:p w14:paraId="43FC613B">
      <w:pPr>
        <w:spacing w:before="40" w:after="200"/>
        <w:jc w:val="center"/>
      </w:pPr>
      <w:r>
        <w:rPr>
          <w:rFonts w:ascii="Arial" w:hAnsi="Arial" w:eastAsia="Arial" w:cs="Arial"/>
          <w:b/>
          <w:bCs/>
          <w:color w:val="1F4E79"/>
          <w:sz w:val="20"/>
          <w:szCs w:val="20"/>
        </w:rPr>
        <w:t>图4  下发链路（Trace-A）Span树形结构示意图</w:t>
      </w:r>
    </w:p>
    <w:p w14:paraId="7C905FE8">
      <w:pPr>
        <w:spacing w:before="0" w:after="0"/>
      </w:pPr>
    </w:p>
    <w:p w14:paraId="7455562B">
      <w:pPr>
        <w:pageBreakBefore/>
      </w:pPr>
      <w:r>
        <w:br w:type="textWrapping"/>
      </w:r>
    </w:p>
    <w:p w14:paraId="58D09533">
      <w:pPr>
        <w:spacing w:before="120" w:after="80"/>
        <w:jc w:val="center"/>
      </w:pPr>
      <w:r>
        <w:drawing>
          <wp:inline distT="0" distB="0" distL="0" distR="0">
            <wp:extent cx="5962650" cy="2732405"/>
            <wp:effectExtent l="0" t="0" r="6350" b="1079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10"/>
                    <a:srcRect/>
                    <a:stretch>
                      <a:fillRect/>
                    </a:stretch>
                  </pic:blipFill>
                  <pic:spPr>
                    <a:xfrm>
                      <a:off x="0" y="0"/>
                      <a:ext cx="5962650" cy="2732405"/>
                    </a:xfrm>
                    <a:prstGeom prst="rect">
                      <a:avLst/>
                    </a:prstGeom>
                  </pic:spPr>
                </pic:pic>
              </a:graphicData>
            </a:graphic>
          </wp:inline>
        </w:drawing>
      </w:r>
    </w:p>
    <w:p w14:paraId="61471054">
      <w:pPr>
        <w:spacing w:before="40" w:after="200"/>
        <w:jc w:val="center"/>
      </w:pPr>
      <w:r>
        <w:rPr>
          <w:rFonts w:ascii="Arial" w:hAnsi="Arial" w:eastAsia="Arial" w:cs="Arial"/>
          <w:b/>
          <w:bCs/>
          <w:color w:val="1F4E79"/>
          <w:sz w:val="20"/>
          <w:szCs w:val="20"/>
        </w:rPr>
        <w:t>图5  上报链路（Trace-B）Span树形结构及Span Link关联示意图</w:t>
      </w:r>
    </w:p>
    <w:p w14:paraId="055615DE">
      <w:pPr>
        <w:spacing w:before="0" w:after="0"/>
      </w:pPr>
    </w:p>
    <w:p w14:paraId="02D67D41">
      <w:pPr>
        <w:spacing w:before="120" w:after="80"/>
        <w:jc w:val="center"/>
      </w:pPr>
      <w:r>
        <w:drawing>
          <wp:inline distT="0" distB="0" distL="0" distR="0">
            <wp:extent cx="5618480" cy="3206750"/>
            <wp:effectExtent l="0" t="0" r="7620" b="635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noChangeArrowheads="1"/>
                    </pic:cNvPicPr>
                  </pic:nvPicPr>
                  <pic:blipFill>
                    <a:blip r:embed="rId11"/>
                    <a:srcRect/>
                    <a:stretch>
                      <a:fillRect/>
                    </a:stretch>
                  </pic:blipFill>
                  <pic:spPr>
                    <a:xfrm>
                      <a:off x="0" y="0"/>
                      <a:ext cx="5618480" cy="3206750"/>
                    </a:xfrm>
                    <a:prstGeom prst="rect">
                      <a:avLst/>
                    </a:prstGeom>
                  </pic:spPr>
                </pic:pic>
              </a:graphicData>
            </a:graphic>
          </wp:inline>
        </w:drawing>
      </w:r>
    </w:p>
    <w:p w14:paraId="7CBEFB6A">
      <w:pPr>
        <w:spacing w:before="40" w:after="200"/>
        <w:jc w:val="center"/>
      </w:pPr>
      <w:r>
        <w:rPr>
          <w:rFonts w:ascii="Arial" w:hAnsi="Arial" w:eastAsia="Arial" w:cs="Arial"/>
          <w:b/>
          <w:bCs/>
          <w:color w:val="1F4E79"/>
          <w:sz w:val="20"/>
          <w:szCs w:val="20"/>
        </w:rPr>
        <w:t>图6  新能源车链路缝合时序图（含离线唤醒场景）</w:t>
      </w:r>
    </w:p>
    <w:p w14:paraId="1A0604B4">
      <w:pPr>
        <w:spacing w:before="0" w:after="0"/>
      </w:pPr>
    </w:p>
    <w:p w14:paraId="0E683173">
      <w:pPr>
        <w:pageBreakBefore/>
      </w:pPr>
      <w:r>
        <w:br w:type="textWrapping"/>
      </w:r>
    </w:p>
    <w:p w14:paraId="306E87F3">
      <w:pPr>
        <w:spacing w:before="120" w:after="80"/>
        <w:jc w:val="center"/>
      </w:pPr>
      <w:r>
        <w:drawing>
          <wp:inline distT="0" distB="0" distL="0" distR="0">
            <wp:extent cx="5540375" cy="2952115"/>
            <wp:effectExtent l="0" t="0" r="9525" b="698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noChangeArrowheads="1"/>
                    </pic:cNvPicPr>
                  </pic:nvPicPr>
                  <pic:blipFill>
                    <a:blip r:embed="rId12"/>
                    <a:srcRect/>
                    <a:stretch>
                      <a:fillRect/>
                    </a:stretch>
                  </pic:blipFill>
                  <pic:spPr>
                    <a:xfrm>
                      <a:off x="0" y="0"/>
                      <a:ext cx="5540375" cy="2952115"/>
                    </a:xfrm>
                    <a:prstGeom prst="rect">
                      <a:avLst/>
                    </a:prstGeom>
                  </pic:spPr>
                </pic:pic>
              </a:graphicData>
            </a:graphic>
          </wp:inline>
        </w:drawing>
      </w:r>
    </w:p>
    <w:p w14:paraId="12C81B61">
      <w:pPr>
        <w:spacing w:before="40" w:after="200"/>
        <w:jc w:val="center"/>
      </w:pPr>
      <w:r>
        <w:rPr>
          <w:rFonts w:ascii="Arial" w:hAnsi="Arial" w:eastAsia="Arial" w:cs="Arial"/>
          <w:b/>
          <w:bCs/>
          <w:color w:val="1F4E79"/>
          <w:sz w:val="20"/>
          <w:szCs w:val="20"/>
        </w:rPr>
        <w:t>图7  燃油车链路缝合时序图（含离线唤醒场景）</w:t>
      </w:r>
    </w:p>
    <w:p w14:paraId="6176EBBC">
      <w:pPr>
        <w:spacing w:before="0" w:after="0"/>
      </w:pPr>
    </w:p>
    <w:p w14:paraId="031035FD">
      <w:pPr>
        <w:spacing w:before="120" w:after="80"/>
        <w:jc w:val="center"/>
      </w:pPr>
      <w:r>
        <w:drawing>
          <wp:inline distT="0" distB="0" distL="0" distR="0">
            <wp:extent cx="5331460" cy="3554095"/>
            <wp:effectExtent l="0" t="0" r="2540" b="190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noChangeArrowheads="1"/>
                    </pic:cNvPicPr>
                  </pic:nvPicPr>
                  <pic:blipFill>
                    <a:blip r:embed="rId13"/>
                    <a:srcRect/>
                    <a:stretch>
                      <a:fillRect/>
                    </a:stretch>
                  </pic:blipFill>
                  <pic:spPr>
                    <a:xfrm>
                      <a:off x="0" y="0"/>
                      <a:ext cx="5331460" cy="3554095"/>
                    </a:xfrm>
                    <a:prstGeom prst="rect">
                      <a:avLst/>
                    </a:prstGeom>
                  </pic:spPr>
                </pic:pic>
              </a:graphicData>
            </a:graphic>
          </wp:inline>
        </w:drawing>
      </w:r>
    </w:p>
    <w:p w14:paraId="6622943A">
      <w:pPr>
        <w:spacing w:before="40" w:after="200"/>
        <w:jc w:val="center"/>
      </w:pPr>
      <w:r>
        <w:rPr>
          <w:rFonts w:ascii="Arial" w:hAnsi="Arial" w:eastAsia="Arial" w:cs="Arial"/>
          <w:b/>
          <w:bCs/>
          <w:color w:val="1F4E79"/>
          <w:sz w:val="20"/>
          <w:szCs w:val="20"/>
        </w:rPr>
        <w:t>图8  系统降级处理流程示意图</w:t>
      </w:r>
    </w:p>
    <w:p w14:paraId="4D092743">
      <w:pPr>
        <w:spacing w:before="0" w:after="0"/>
      </w:pPr>
    </w:p>
    <w:p w14:paraId="73C612F8">
      <w:pPr>
        <w:pageBreakBefore/>
      </w:pPr>
      <w:r>
        <w:br w:type="textWrapping"/>
      </w:r>
    </w:p>
    <w:p w14:paraId="52BC0F56">
      <w:pPr>
        <w:spacing w:before="120" w:after="80"/>
        <w:jc w:val="center"/>
      </w:pPr>
      <w:r>
        <w:drawing>
          <wp:inline distT="0" distB="0" distL="0" distR="0">
            <wp:extent cx="5749925" cy="2429510"/>
            <wp:effectExtent l="0" t="0" r="3175" b="889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noChangeArrowheads="1"/>
                    </pic:cNvPicPr>
                  </pic:nvPicPr>
                  <pic:blipFill>
                    <a:blip r:embed="rId14"/>
                    <a:srcRect/>
                    <a:stretch>
                      <a:fillRect/>
                    </a:stretch>
                  </pic:blipFill>
                  <pic:spPr>
                    <a:xfrm>
                      <a:off x="0" y="0"/>
                      <a:ext cx="5749925" cy="2429510"/>
                    </a:xfrm>
                    <a:prstGeom prst="rect">
                      <a:avLst/>
                    </a:prstGeom>
                  </pic:spPr>
                </pic:pic>
              </a:graphicData>
            </a:graphic>
          </wp:inline>
        </w:drawing>
      </w:r>
    </w:p>
    <w:p w14:paraId="7FD6886B">
      <w:pPr>
        <w:spacing w:before="40" w:after="200"/>
        <w:jc w:val="center"/>
      </w:pPr>
      <w:r>
        <w:rPr>
          <w:rFonts w:ascii="Arial" w:hAnsi="Arial" w:eastAsia="Arial" w:cs="Arial"/>
          <w:b/>
          <w:bCs/>
          <w:color w:val="1F4E79"/>
          <w:sz w:val="20"/>
          <w:szCs w:val="20"/>
        </w:rPr>
        <w:t>图9  ClickHouse存储的完整链路视图示意图</w:t>
      </w:r>
    </w:p>
    <w:p w14:paraId="4FACEA3F">
      <w:pPr>
        <w:spacing w:before="0" w:after="0"/>
      </w:pPr>
    </w:p>
    <w:p w14:paraId="6CF88B23">
      <w:pPr>
        <w:spacing w:before="120" w:after="80"/>
        <w:jc w:val="center"/>
      </w:pPr>
      <w:r>
        <w:drawing>
          <wp:inline distT="0" distB="0" distL="0" distR="0">
            <wp:extent cx="5488940" cy="2533650"/>
            <wp:effectExtent l="0" t="0" r="10160" b="635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noChangeArrowheads="1"/>
                    </pic:cNvPicPr>
                  </pic:nvPicPr>
                  <pic:blipFill>
                    <a:blip r:embed="rId15"/>
                    <a:srcRect/>
                    <a:stretch>
                      <a:fillRect/>
                    </a:stretch>
                  </pic:blipFill>
                  <pic:spPr>
                    <a:xfrm>
                      <a:off x="0" y="0"/>
                      <a:ext cx="5488940" cy="2533650"/>
                    </a:xfrm>
                    <a:prstGeom prst="rect">
                      <a:avLst/>
                    </a:prstGeom>
                  </pic:spPr>
                </pic:pic>
              </a:graphicData>
            </a:graphic>
          </wp:inline>
        </w:drawing>
      </w:r>
    </w:p>
    <w:p w14:paraId="254782E0">
      <w:pPr>
        <w:spacing w:before="40" w:after="200"/>
        <w:jc w:val="center"/>
      </w:pPr>
      <w:r>
        <w:rPr>
          <w:rFonts w:ascii="Arial" w:hAnsi="Arial" w:eastAsia="Arial" w:cs="Arial"/>
          <w:b/>
          <w:bCs/>
          <w:color w:val="1F4E79"/>
          <w:sz w:val="20"/>
          <w:szCs w:val="20"/>
        </w:rPr>
        <w:t>图10 远控链路监控看板虚拟TBox节点展示示意图</w:t>
      </w:r>
    </w:p>
    <w:p w14:paraId="7590E715">
      <w:pPr>
        <w:spacing w:before="0" w:after="0"/>
      </w:pPr>
    </w:p>
    <w:p w14:paraId="17D75924">
      <w:pPr>
        <w:pageBreakBefore/>
      </w:pPr>
      <w:r>
        <w:br w:type="textWrapping"/>
      </w:r>
    </w:p>
    <w:p w14:paraId="61DF50EC">
      <w:pPr>
        <w:pStyle w:val="2"/>
        <w:pBdr>
          <w:bottom w:val="single" w:color="2E75B6" w:sz="6" w:space="1"/>
        </w:pBdr>
        <w:spacing w:before="320" w:after="160"/>
      </w:pPr>
      <w:r>
        <w:rPr>
          <w:rFonts w:ascii="Arial" w:hAnsi="Arial" w:eastAsia="Arial" w:cs="Arial"/>
          <w:b/>
          <w:bCs/>
          <w:color w:val="1F4E79"/>
          <w:sz w:val="32"/>
          <w:szCs w:val="32"/>
        </w:rPr>
        <w:t>六、具体实施方式</w:t>
      </w:r>
    </w:p>
    <w:p w14:paraId="556AD86B">
      <w:pPr>
        <w:pStyle w:val="3"/>
        <w:spacing w:before="240" w:after="120"/>
      </w:pPr>
      <w:r>
        <w:rPr>
          <w:rFonts w:ascii="Arial" w:hAnsi="Arial" w:eastAsia="Arial" w:cs="Arial"/>
          <w:b/>
          <w:bCs/>
          <w:color w:val="1F4E79"/>
          <w:sz w:val="28"/>
          <w:szCs w:val="28"/>
        </w:rPr>
        <w:t>6.1 系统环境说明</w:t>
      </w:r>
    </w:p>
    <w:p w14:paraId="6735E76A">
      <w:pPr>
        <w:pStyle w:val="16"/>
        <w:numPr>
          <w:ilvl w:val="0"/>
          <w:numId w:val="1"/>
        </w:numPr>
        <w:spacing w:before="40" w:after="40"/>
      </w:pPr>
      <w:r>
        <w:rPr>
          <w:rFonts w:ascii="Arial" w:hAnsi="Arial" w:eastAsia="Arial" w:cs="Arial"/>
          <w:sz w:val="22"/>
          <w:szCs w:val="22"/>
        </w:rPr>
        <w:t>分布式追踪框架：OpenTelemetry Java Agent v2.26.0，otelcol-contrib v0.147.0</w:t>
      </w:r>
    </w:p>
    <w:p w14:paraId="57850013">
      <w:pPr>
        <w:pStyle w:val="16"/>
        <w:numPr>
          <w:ilvl w:val="0"/>
          <w:numId w:val="1"/>
        </w:numPr>
        <w:spacing w:before="40" w:after="40"/>
      </w:pPr>
      <w:r>
        <w:rPr>
          <w:rFonts w:ascii="Arial" w:hAnsi="Arial" w:eastAsia="Arial" w:cs="Arial"/>
          <w:sz w:val="22"/>
          <w:szCs w:val="22"/>
        </w:rPr>
        <w:t>消息中间件：Apache Kafka（服务间通信），RabbitMQ（远控超时队列），EMQX（TBox/App推送）</w:t>
      </w:r>
    </w:p>
    <w:p w14:paraId="35B0B3BD">
      <w:pPr>
        <w:pStyle w:val="16"/>
        <w:numPr>
          <w:ilvl w:val="0"/>
          <w:numId w:val="1"/>
        </w:numPr>
        <w:spacing w:before="40" w:after="40"/>
      </w:pPr>
      <w:r>
        <w:rPr>
          <w:rFonts w:ascii="Arial" w:hAnsi="Arial" w:eastAsia="Arial" w:cs="Arial"/>
          <w:sz w:val="22"/>
          <w:szCs w:val="22"/>
        </w:rPr>
        <w:t>分布式缓存：Redis集群（关联存储，TTL 24h）</w:t>
      </w:r>
    </w:p>
    <w:p w14:paraId="3C1106BA">
      <w:pPr>
        <w:pStyle w:val="16"/>
        <w:numPr>
          <w:ilvl w:val="0"/>
          <w:numId w:val="1"/>
        </w:numPr>
        <w:spacing w:before="40" w:after="40"/>
      </w:pPr>
      <w:r>
        <w:rPr>
          <w:rFonts w:ascii="Arial" w:hAnsi="Arial" w:eastAsia="Arial" w:cs="Arial"/>
          <w:sz w:val="22"/>
          <w:szCs w:val="22"/>
        </w:rPr>
        <w:t>链路数据存储：ClickHouse（长期存储与分析），华为云APM（实时可视化）</w:t>
      </w:r>
    </w:p>
    <w:p w14:paraId="2711CCDA">
      <w:pPr>
        <w:spacing w:before="0" w:after="0"/>
      </w:pPr>
    </w:p>
    <w:p w14:paraId="76F02A18">
      <w:pPr>
        <w:pStyle w:val="3"/>
        <w:spacing w:before="240" w:after="120"/>
      </w:pPr>
      <w:r>
        <w:rPr>
          <w:rFonts w:ascii="Arial" w:hAnsi="Arial" w:eastAsia="Arial" w:cs="Arial"/>
          <w:b/>
          <w:bCs/>
          <w:color w:val="1F4E79"/>
          <w:sz w:val="28"/>
          <w:szCs w:val="28"/>
        </w:rPr>
        <w:t>6.2 核心组件实现</w:t>
      </w:r>
    </w:p>
    <w:p w14:paraId="0ECD75FD">
      <w:pPr>
        <w:pStyle w:val="4"/>
        <w:spacing w:before="180" w:after="80"/>
      </w:pPr>
      <w:r>
        <w:rPr>
          <w:rFonts w:ascii="Arial" w:hAnsi="Arial" w:eastAsia="Arial" w:cs="Arial"/>
          <w:b/>
          <w:bCs/>
          <w:color w:val="595959"/>
          <w:sz w:val="24"/>
          <w:szCs w:val="24"/>
        </w:rPr>
        <w:t>6.2.1 下发Span创建（rc.command.dispatch）</w:t>
      </w:r>
    </w:p>
    <w:p w14:paraId="149DA21F">
      <w:pPr>
        <w:pStyle w:val="16"/>
        <w:numPr>
          <w:ilvl w:val="0"/>
          <w:numId w:val="2"/>
        </w:numPr>
        <w:spacing w:before="40" w:after="40"/>
      </w:pPr>
      <w:r>
        <w:rPr>
          <w:rFonts w:ascii="Arial" w:hAnsi="Arial" w:eastAsia="Arial" w:cs="Arial"/>
          <w:sz w:val="22"/>
          <w:szCs w:val="22"/>
        </w:rPr>
        <w:t>通过OTel API创建SpanKind.PRODUCER类型的Span，命名为rc.command.dispatch。</w:t>
      </w:r>
    </w:p>
    <w:p w14:paraId="1C232B16">
      <w:pPr>
        <w:pStyle w:val="16"/>
        <w:numPr>
          <w:ilvl w:val="0"/>
          <w:numId w:val="2"/>
        </w:numPr>
        <w:spacing w:before="40" w:after="40"/>
      </w:pPr>
      <w:r>
        <w:rPr>
          <w:rFonts w:ascii="Arial" w:hAnsi="Arial" w:eastAsia="Arial" w:cs="Arial"/>
          <w:sz w:val="22"/>
          <w:szCs w:val="22"/>
        </w:rPr>
        <w:t>在Span中写入rc.send_id、biz.vin、biz.command_type、rc.direction（downstream）等属性。</w:t>
      </w:r>
    </w:p>
    <w:p w14:paraId="73841B55">
      <w:pPr>
        <w:pStyle w:val="16"/>
        <w:numPr>
          <w:ilvl w:val="0"/>
          <w:numId w:val="2"/>
        </w:numPr>
        <w:spacing w:before="40" w:after="40"/>
      </w:pPr>
      <w:r>
        <w:rPr>
          <w:rFonts w:ascii="Arial" w:hAnsi="Arial" w:eastAsia="Arial" w:cs="Arial"/>
          <w:sz w:val="22"/>
          <w:szCs w:val="22"/>
        </w:rPr>
        <w:t>调用span.makeCurrent()激活Span，在其Scope内从Baggage.current()提取bizChannel等属性并写入Span。</w:t>
      </w:r>
    </w:p>
    <w:p w14:paraId="10682D0A">
      <w:pPr>
        <w:pStyle w:val="16"/>
        <w:numPr>
          <w:ilvl w:val="0"/>
          <w:numId w:val="2"/>
        </w:numPr>
        <w:spacing w:before="40" w:after="40"/>
      </w:pPr>
      <w:r>
        <w:rPr>
          <w:rFonts w:ascii="Arial" w:hAnsi="Arial" w:eastAsia="Arial" w:cs="Arial"/>
          <w:sz w:val="22"/>
          <w:szCs w:val="22"/>
        </w:rPr>
        <w:t>将traceId、spanId及业务属性通过saveCorrelation写入Redis，Key格式为rc:trace:{sendId}，TTL 24小时。</w:t>
      </w:r>
    </w:p>
    <w:p w14:paraId="2ADEC2FE">
      <w:pPr>
        <w:pStyle w:val="16"/>
        <w:numPr>
          <w:ilvl w:val="0"/>
          <w:numId w:val="2"/>
        </w:numPr>
        <w:spacing w:before="40" w:after="40"/>
      </w:pPr>
      <w:r>
        <w:rPr>
          <w:rFonts w:ascii="Arial" w:hAnsi="Arial" w:eastAsia="Arial" w:cs="Arial"/>
          <w:sz w:val="22"/>
          <w:szCs w:val="22"/>
        </w:rPr>
        <w:t>完成Kafka消息发送后调用span.end()结束Span。</w:t>
      </w:r>
    </w:p>
    <w:p w14:paraId="7A09F38A">
      <w:pPr>
        <w:spacing w:before="0" w:after="0"/>
      </w:pPr>
    </w:p>
    <w:p w14:paraId="1A3514B1">
      <w:pPr>
        <w:pStyle w:val="4"/>
        <w:spacing w:before="180" w:after="80"/>
      </w:pPr>
      <w:r>
        <w:rPr>
          <w:rFonts w:ascii="Arial" w:hAnsi="Arial" w:eastAsia="Arial" w:cs="Arial"/>
          <w:b/>
          <w:bCs/>
          <w:color w:val="595959"/>
          <w:sz w:val="24"/>
          <w:szCs w:val="24"/>
        </w:rPr>
        <w:t>6.2.2 上报链路缝合（onTBoxResult）</w:t>
      </w:r>
    </w:p>
    <w:p w14:paraId="771DD6CD">
      <w:pPr>
        <w:pStyle w:val="16"/>
        <w:numPr>
          <w:ilvl w:val="0"/>
          <w:numId w:val="2"/>
        </w:numPr>
        <w:spacing w:before="40" w:after="40"/>
      </w:pPr>
      <w:r>
        <w:rPr>
          <w:rFonts w:ascii="Arial" w:hAnsi="Arial" w:eastAsia="Arial" w:cs="Arial"/>
          <w:sz w:val="22"/>
          <w:szCs w:val="22"/>
        </w:rPr>
        <w:t>从Kafka消息体中提取sendId，调用getCorrelation查询Redis获取CorrelationData。</w:t>
      </w:r>
    </w:p>
    <w:p w14:paraId="64E881FB">
      <w:pPr>
        <w:pStyle w:val="16"/>
        <w:numPr>
          <w:ilvl w:val="0"/>
          <w:numId w:val="2"/>
        </w:numPr>
        <w:spacing w:before="40" w:after="40"/>
      </w:pPr>
      <w:r>
        <w:rPr>
          <w:rFonts w:ascii="Arial" w:hAnsi="Arial" w:eastAsia="Arial" w:cs="Arial"/>
          <w:sz w:val="22"/>
          <w:szCs w:val="22"/>
        </w:rPr>
        <w:t>若CorrelationData为null，执行降级处理（独立Trace记录+告警日志）并返回。</w:t>
      </w:r>
    </w:p>
    <w:p w14:paraId="656C0EEF">
      <w:pPr>
        <w:pStyle w:val="16"/>
        <w:numPr>
          <w:ilvl w:val="0"/>
          <w:numId w:val="2"/>
        </w:numPr>
        <w:spacing w:before="40" w:after="40"/>
      </w:pPr>
      <w:r>
        <w:rPr>
          <w:rFonts w:ascii="Arial" w:hAnsi="Arial" w:eastAsia="Arial" w:cs="Arial"/>
          <w:sz w:val="22"/>
          <w:szCs w:val="22"/>
        </w:rPr>
        <w:t>调用SpanContext.createFromRemoteParent(traceId, parentSpanId, ...)重建dispatch Span上下文引用。</w:t>
      </w:r>
    </w:p>
    <w:p w14:paraId="1DC24316">
      <w:pPr>
        <w:pStyle w:val="16"/>
        <w:numPr>
          <w:ilvl w:val="0"/>
          <w:numId w:val="2"/>
        </w:numPr>
        <w:spacing w:before="40" w:after="40"/>
      </w:pPr>
      <w:r>
        <w:rPr>
          <w:rFonts w:ascii="Arial" w:hAnsi="Arial" w:eastAsia="Arial" w:cs="Arial"/>
          <w:sz w:val="22"/>
          <w:szCs w:val="22"/>
        </w:rPr>
        <w:t>构建SpanBuilder，调用setParent(Context.root().with(dispatchCtx))使当前Span复用下发链路traceId。</w:t>
      </w:r>
    </w:p>
    <w:p w14:paraId="15DBED1B">
      <w:pPr>
        <w:pStyle w:val="16"/>
        <w:numPr>
          <w:ilvl w:val="0"/>
          <w:numId w:val="2"/>
        </w:numPr>
        <w:spacing w:before="40" w:after="40"/>
      </w:pPr>
      <w:r>
        <w:rPr>
          <w:rFonts w:ascii="Arial" w:hAnsi="Arial" w:eastAsia="Arial" w:cs="Arial"/>
          <w:sz w:val="22"/>
          <w:szCs w:val="22"/>
        </w:rPr>
        <w:t>调用addLink(dispatchCtx, linkAttributes)建立Span Link，linkAttributes包含rc.link.type、rc.send_id和rc.gap_duration_ms（TBox黑盒耗时）。</w:t>
      </w:r>
    </w:p>
    <w:p w14:paraId="53E0AD81">
      <w:pPr>
        <w:pStyle w:val="16"/>
        <w:numPr>
          <w:ilvl w:val="0"/>
          <w:numId w:val="2"/>
        </w:numPr>
        <w:spacing w:before="40" w:after="40"/>
      </w:pPr>
      <w:r>
        <w:rPr>
          <w:rFonts w:ascii="Arial" w:hAnsi="Arial" w:eastAsia="Arial" w:cs="Arial"/>
          <w:sz w:val="22"/>
          <w:szCs w:val="22"/>
        </w:rPr>
        <w:t>从CorrelationData读取bizSystem、bizChannel、tenantId等字段，通过setAttribute写入当前Span。</w:t>
      </w:r>
    </w:p>
    <w:p w14:paraId="2554F2D8">
      <w:pPr>
        <w:pStyle w:val="16"/>
        <w:numPr>
          <w:ilvl w:val="0"/>
          <w:numId w:val="2"/>
        </w:numPr>
        <w:spacing w:before="40" w:after="40"/>
      </w:pPr>
      <w:r>
        <w:rPr>
          <w:rFonts w:ascii="Arial" w:hAnsi="Arial" w:eastAsia="Arial" w:cs="Arial"/>
          <w:sz w:val="22"/>
          <w:szCs w:val="22"/>
        </w:rPr>
        <w:t>在finally块中调用span.end()和cleanup(sendId)，确保资源释放。</w:t>
      </w:r>
    </w:p>
    <w:p w14:paraId="3FBB9EFD">
      <w:pPr>
        <w:spacing w:before="0" w:after="0"/>
      </w:pPr>
    </w:p>
    <w:p w14:paraId="2CF5468E">
      <w:pPr>
        <w:pStyle w:val="3"/>
        <w:spacing w:before="240" w:after="120"/>
      </w:pPr>
      <w:r>
        <w:rPr>
          <w:rFonts w:ascii="Arial" w:hAnsi="Arial" w:eastAsia="Arial" w:cs="Arial"/>
          <w:b/>
          <w:bCs/>
          <w:color w:val="1F4E79"/>
          <w:sz w:val="28"/>
          <w:szCs w:val="28"/>
        </w:rPr>
        <w:t>6.3 OTel Collector配置要点</w:t>
      </w:r>
    </w:p>
    <w:p w14:paraId="6B00AC1D">
      <w:pPr>
        <w:pStyle w:val="16"/>
        <w:numPr>
          <w:ilvl w:val="0"/>
          <w:numId w:val="1"/>
        </w:numPr>
        <w:spacing w:before="40" w:after="40"/>
      </w:pPr>
      <w:r>
        <w:rPr>
          <w:rFonts w:ascii="Arial" w:hAnsi="Arial" w:eastAsia="Arial" w:cs="Arial"/>
          <w:sz w:val="22"/>
          <w:szCs w:val="22"/>
        </w:rPr>
        <w:t>采用Edge-Collector + Central-Collector两层架构，Edge-Collector负责按traceId哈希路由（loadbalancing exporter），保证同一Trace的Span集中到同一Central实例。</w:t>
      </w:r>
    </w:p>
    <w:p w14:paraId="61B90ACE">
      <w:pPr>
        <w:pStyle w:val="16"/>
        <w:numPr>
          <w:ilvl w:val="0"/>
          <w:numId w:val="1"/>
        </w:numPr>
        <w:spacing w:before="40" w:after="40"/>
      </w:pPr>
      <w:r>
        <w:rPr>
          <w:rFonts w:ascii="Arial" w:hAnsi="Arial" w:eastAsia="Arial" w:cs="Arial"/>
          <w:sz w:val="22"/>
          <w:szCs w:val="22"/>
        </w:rPr>
        <w:t>Central-Collector执行尾部采样（tail_sampling，decision_wait: 35s），保留全部错误Trace，正常Trace采样10%。</w:t>
      </w:r>
    </w:p>
    <w:p w14:paraId="34F26E70">
      <w:pPr>
        <w:pStyle w:val="16"/>
        <w:numPr>
          <w:ilvl w:val="0"/>
          <w:numId w:val="1"/>
        </w:numPr>
        <w:spacing w:before="40" w:after="40"/>
      </w:pPr>
      <w:r>
        <w:rPr>
          <w:rFonts w:ascii="Arial" w:hAnsi="Arial" w:eastAsia="Arial" w:cs="Arial"/>
          <w:sz w:val="22"/>
          <w:szCs w:val="22"/>
        </w:rPr>
        <w:t>Kong内部阶段Span通过filter/kong_internal过滤，减少无效数据量。</w:t>
      </w:r>
    </w:p>
    <w:p w14:paraId="20ABCB78">
      <w:pPr>
        <w:spacing w:before="0" w:after="0"/>
      </w:pPr>
    </w:p>
    <w:p w14:paraId="4C7691D1">
      <w:pPr>
        <w:pageBreakBefore/>
      </w:pPr>
      <w:r>
        <w:br w:type="textWrapping"/>
      </w:r>
    </w:p>
    <w:p w14:paraId="2378B87D">
      <w:pPr>
        <w:pStyle w:val="2"/>
        <w:pBdr>
          <w:bottom w:val="single" w:color="2E75B6" w:sz="6" w:space="1"/>
        </w:pBdr>
        <w:spacing w:before="320" w:after="160"/>
      </w:pPr>
      <w:r>
        <w:rPr>
          <w:rFonts w:ascii="Arial" w:hAnsi="Arial" w:eastAsia="Arial" w:cs="Arial"/>
          <w:b/>
          <w:bCs/>
          <w:color w:val="1F4E79"/>
          <w:sz w:val="32"/>
          <w:szCs w:val="32"/>
        </w:rPr>
        <w:t>七、权利要求书</w:t>
      </w:r>
    </w:p>
    <w:p w14:paraId="73872FD8">
      <w:pPr>
        <w:spacing w:before="0" w:after="0"/>
      </w:pPr>
    </w:p>
    <w:p w14:paraId="424C9175">
      <w:pPr>
        <w:spacing w:before="60" w:after="60"/>
        <w:jc w:val="both"/>
      </w:pPr>
      <w:r>
        <w:rPr>
          <w:rFonts w:ascii="Arial" w:hAnsi="Arial" w:eastAsia="Arial" w:cs="Arial"/>
          <w:b/>
          <w:bCs/>
          <w:sz w:val="22"/>
          <w:szCs w:val="22"/>
        </w:rPr>
        <w:t>1. 一种车联网平台跨异构通信边界的远控链路追踪缝合方法，其特征在于，包括以下步骤：</w:t>
      </w:r>
    </w:p>
    <w:p w14:paraId="6C1992A0">
      <w:pPr>
        <w:pStyle w:val="16"/>
        <w:numPr>
          <w:ilvl w:val="0"/>
          <w:numId w:val="1"/>
        </w:numPr>
        <w:spacing w:before="40" w:after="40"/>
      </w:pPr>
      <w:r>
        <w:rPr>
          <w:rFonts w:ascii="Arial" w:hAnsi="Arial" w:eastAsia="Arial" w:cs="Arial"/>
          <w:sz w:val="22"/>
          <w:szCs w:val="22"/>
        </w:rPr>
        <w:t>下发阶段：在TSP服务通过消息中间件向TBox下发远控指令之前，获取当前OTel Span的traceId和spanId；以远控全局唯一下发标识sendId为键，将所述链路上下文和业务属性存储至分布式缓存；</w:t>
      </w:r>
    </w:p>
    <w:p w14:paraId="190FED7B">
      <w:pPr>
        <w:pStyle w:val="16"/>
        <w:numPr>
          <w:ilvl w:val="0"/>
          <w:numId w:val="1"/>
        </w:numPr>
        <w:spacing w:before="40" w:after="40"/>
      </w:pPr>
      <w:r>
        <w:rPr>
          <w:rFonts w:ascii="Arial" w:hAnsi="Arial" w:eastAsia="Arial" w:cs="Arial"/>
          <w:sz w:val="22"/>
          <w:szCs w:val="22"/>
        </w:rPr>
        <w:t>TBox执行阶段：TBox接收并执行指令，将执行结果及原sendId经通信通道上报至TSP网关，TSP网关将含sendId的结果消息写入消息队列；</w:t>
      </w:r>
    </w:p>
    <w:p w14:paraId="6287107B">
      <w:pPr>
        <w:pStyle w:val="16"/>
        <w:numPr>
          <w:ilvl w:val="0"/>
          <w:numId w:val="1"/>
        </w:numPr>
        <w:spacing w:before="40" w:after="40"/>
      </w:pPr>
      <w:r>
        <w:rPr>
          <w:rFonts w:ascii="Arial" w:hAnsi="Arial" w:eastAsia="Arial" w:cs="Arial"/>
          <w:sz w:val="22"/>
          <w:szCs w:val="22"/>
        </w:rPr>
        <w:t>上报缝合阶段：TSP服务消费消息队列中的执行结果，提取sendId查询分布式缓存；根据缓存的traceId和spanId重建下发Span的上下文引用；创建新Span，通过setParent使其复用下发链路traceId；通过addLink建立Span Link携带sendId关联标识及TBox黑盒耗时；从缓存读取业务属性写入当前Span；完成处理后清除缓存条目。</w:t>
      </w:r>
    </w:p>
    <w:p w14:paraId="5445E8C9">
      <w:pPr>
        <w:spacing w:before="0" w:after="0"/>
      </w:pPr>
    </w:p>
    <w:p w14:paraId="71FDA4DB">
      <w:pPr>
        <w:spacing w:before="60" w:after="60"/>
        <w:jc w:val="both"/>
      </w:pPr>
      <w:r>
        <w:rPr>
          <w:rFonts w:ascii="Arial" w:hAnsi="Arial" w:eastAsia="Arial" w:cs="Arial"/>
          <w:b/>
          <w:bCs/>
          <w:sz w:val="22"/>
          <w:szCs w:val="22"/>
        </w:rPr>
        <w:t>2. 根据权利要求1所述的方法，其特征在于，所述异构通信边界包括：</w:t>
      </w:r>
    </w:p>
    <w:p w14:paraId="2CE0EEA6">
      <w:pPr>
        <w:pStyle w:val="16"/>
        <w:numPr>
          <w:ilvl w:val="0"/>
          <w:numId w:val="1"/>
        </w:numPr>
        <w:spacing w:before="40" w:after="40"/>
      </w:pPr>
      <w:r>
        <w:rPr>
          <w:rFonts w:ascii="Arial" w:hAnsi="Arial" w:eastAsia="Arial" w:cs="Arial"/>
          <w:sz w:val="22"/>
          <w:szCs w:val="22"/>
        </w:rPr>
        <w:t>新能源车通信边界：基于Kafka消息队列与Netty长连接协议的evgb-gateway至TBox的通信通道；</w:t>
      </w:r>
    </w:p>
    <w:p w14:paraId="0168A43E">
      <w:pPr>
        <w:pStyle w:val="16"/>
        <w:numPr>
          <w:ilvl w:val="0"/>
          <w:numId w:val="1"/>
        </w:numPr>
        <w:spacing w:before="40" w:after="40"/>
      </w:pPr>
      <w:r>
        <w:rPr>
          <w:rFonts w:ascii="Arial" w:hAnsi="Arial" w:eastAsia="Arial" w:cs="Arial"/>
          <w:sz w:val="22"/>
          <w:szCs w:val="22"/>
        </w:rPr>
        <w:t>燃油车通信边界：基于EMQX消息代理与MQTT协议的fvgb-down-gateway至TBox的通信通道；所述两种通信边界共享同一套链路缝合基础设施，通过rc.vehicle_type属性区分车型。</w:t>
      </w:r>
    </w:p>
    <w:p w14:paraId="60614AFC">
      <w:pPr>
        <w:spacing w:before="0" w:after="0"/>
      </w:pPr>
    </w:p>
    <w:p w14:paraId="47196963">
      <w:pPr>
        <w:spacing w:before="60" w:after="60"/>
        <w:jc w:val="both"/>
      </w:pPr>
      <w:r>
        <w:rPr>
          <w:rFonts w:ascii="Arial" w:hAnsi="Arial" w:eastAsia="Arial" w:cs="Arial"/>
          <w:b/>
          <w:bCs/>
          <w:sz w:val="22"/>
          <w:szCs w:val="22"/>
        </w:rPr>
        <w:t>3. 根据权利要求1所述的方法，其特征在于，所述分布式缓存存储的数据结构还包括：vin（车辆识别代码）、commandType（远控指令类型）、tenantId（租户标识）、bizSystem（TSP系统标识）、bizChannel（业务渠道标识）、dispatchTime（下发时间戳）；上述字段用于在Kafka消费线程中OTel Baggage丢失时进行业务上下文补偿。</w:t>
      </w:r>
    </w:p>
    <w:p w14:paraId="0C7308F8">
      <w:pPr>
        <w:spacing w:before="0" w:after="0"/>
      </w:pPr>
    </w:p>
    <w:p w14:paraId="02865232">
      <w:pPr>
        <w:spacing w:before="60" w:after="60"/>
        <w:jc w:val="both"/>
      </w:pPr>
      <w:r>
        <w:rPr>
          <w:rFonts w:ascii="Arial" w:hAnsi="Arial" w:eastAsia="Arial" w:cs="Arial"/>
          <w:b/>
          <w:bCs/>
          <w:sz w:val="22"/>
          <w:szCs w:val="22"/>
        </w:rPr>
        <w:t>4. 根据权利要求1所述的方法，其特征在于，所述Span Link携带的TBox黑盒耗时，通过计算上报阶段当前时间戳与分布式缓存中dispatchTime的差值获得，量化了从TSP下发指令至TBox执行结果回传的端到端时延，包含TBox唤醒等待时间和指令执行时间。</w:t>
      </w:r>
    </w:p>
    <w:p w14:paraId="3CE5DA1C">
      <w:pPr>
        <w:spacing w:before="0" w:after="0"/>
      </w:pPr>
    </w:p>
    <w:p w14:paraId="16520BA7">
      <w:pPr>
        <w:spacing w:before="60" w:after="60"/>
        <w:jc w:val="both"/>
      </w:pPr>
      <w:r>
        <w:rPr>
          <w:rFonts w:ascii="Arial" w:hAnsi="Arial" w:eastAsia="Arial" w:cs="Arial"/>
          <w:b/>
          <w:bCs/>
          <w:sz w:val="22"/>
          <w:szCs w:val="22"/>
        </w:rPr>
        <w:t>5. 根据权利要求1所述的方法，其特征在于，还包括优雅降级步骤：当分布式缓存查询返回空值时，将上报链路以独立Trace形式记录，不进行链路缝合，业务处理流程不受影响，并输出告警日志和监控指标。</w:t>
      </w:r>
    </w:p>
    <w:p w14:paraId="0A2C64A2">
      <w:pPr>
        <w:spacing w:before="0" w:after="0"/>
      </w:pPr>
    </w:p>
    <w:p w14:paraId="2D02D694">
      <w:pPr>
        <w:spacing w:before="60" w:after="60"/>
        <w:jc w:val="both"/>
      </w:pPr>
      <w:r>
        <w:rPr>
          <w:rFonts w:ascii="Arial" w:hAnsi="Arial" w:eastAsia="Arial" w:cs="Arial"/>
          <w:b/>
          <w:bCs/>
          <w:sz w:val="22"/>
          <w:szCs w:val="22"/>
        </w:rPr>
        <w:t>6. 根据权利要求1所述的方法，其特征在于，所述sendId写入远控指令消息体，TBox在上报执行结果时原样携带，整个过程无需对TBox端进行任何软硬件改造。</w:t>
      </w:r>
    </w:p>
    <w:p w14:paraId="577398C9">
      <w:pPr>
        <w:spacing w:before="0" w:after="0"/>
      </w:pPr>
    </w:p>
    <w:p w14:paraId="572F3EA3">
      <w:pPr>
        <w:spacing w:before="60" w:after="60"/>
        <w:jc w:val="both"/>
      </w:pPr>
      <w:r>
        <w:rPr>
          <w:rFonts w:ascii="Arial" w:hAnsi="Arial" w:eastAsia="Arial" w:cs="Arial"/>
          <w:b/>
          <w:bCs/>
          <w:sz w:val="22"/>
          <w:szCs w:val="22"/>
        </w:rPr>
        <w:t>7. 根据权利要求1所述的方法，其特征在于，还包括在监控看板中渲染虚拟TBox节点的步骤：根据下发链路最后一个Span的结束时间和上报链路第一个Span的开始时间，计算TBox黑盒时间区间，在两段链路之间以特殊样式渲染虚拟TBox节点展示黑盒耗时，而不在底层数据存储中写入虚假Span记录。</w:t>
      </w:r>
    </w:p>
    <w:p w14:paraId="4B81F44F">
      <w:pPr>
        <w:spacing w:before="0" w:after="0"/>
      </w:pPr>
    </w:p>
    <w:p w14:paraId="2BB1F789">
      <w:pPr>
        <w:spacing w:before="60" w:after="60"/>
        <w:jc w:val="both"/>
      </w:pPr>
      <w:r>
        <w:rPr>
          <w:rFonts w:ascii="Arial" w:hAnsi="Arial" w:eastAsia="Arial" w:cs="Arial"/>
          <w:b/>
          <w:bCs/>
          <w:sz w:val="22"/>
          <w:szCs w:val="22"/>
        </w:rPr>
        <w:t>8. 一种车联网平台跨异构通信边界的远控链路追踪缝合系统，包括：链路关联服务模块（RcTraceCorrelationService）、下发Span创建模块、上报缝合模块、OTel Collector处理模块和链路存储与查询模块。</w:t>
      </w:r>
    </w:p>
    <w:p w14:paraId="01F8A2AF">
      <w:pPr>
        <w:spacing w:before="0" w:after="0"/>
      </w:pPr>
    </w:p>
    <w:p w14:paraId="2645252F">
      <w:pPr>
        <w:spacing w:before="60" w:after="60"/>
        <w:jc w:val="both"/>
      </w:pPr>
      <w:r>
        <w:rPr>
          <w:rFonts w:ascii="Arial" w:hAnsi="Arial" w:eastAsia="Arial" w:cs="Arial"/>
          <w:b/>
          <w:bCs/>
          <w:sz w:val="22"/>
          <w:szCs w:val="22"/>
        </w:rPr>
        <w:t>9. 一种计算机可读存储介质，其上存储有计算机程序，其特征在于，所述程序被处理器执行时实现权利要求1至7中任一项所述方法的步骤。</w:t>
      </w:r>
    </w:p>
    <w:p w14:paraId="03802E5D">
      <w:pPr>
        <w:spacing w:before="0" w:after="0"/>
      </w:pPr>
      <w:bookmarkStart w:id="0" w:name="_GoBack"/>
      <w:bookmarkEnd w:id="0"/>
    </w:p>
    <w:p w14:paraId="68443B4B">
      <w:pPr>
        <w:pageBreakBefore/>
      </w:pPr>
      <w:r>
        <w:br w:type="textWrapping"/>
      </w:r>
    </w:p>
    <w:p w14:paraId="0846525D">
      <w:pPr>
        <w:pStyle w:val="2"/>
        <w:pBdr>
          <w:bottom w:val="single" w:color="2E75B6" w:sz="6" w:space="1"/>
        </w:pBdr>
        <w:spacing w:before="320" w:after="160"/>
      </w:pPr>
      <w:r>
        <w:rPr>
          <w:rFonts w:ascii="Arial" w:hAnsi="Arial" w:eastAsia="Arial" w:cs="Arial"/>
          <w:b/>
          <w:bCs/>
          <w:color w:val="1F4E79"/>
          <w:sz w:val="32"/>
          <w:szCs w:val="32"/>
        </w:rPr>
        <w:t>八、摘要</w:t>
      </w:r>
    </w:p>
    <w:p w14:paraId="371232A6">
      <w:pPr>
        <w:spacing w:before="60" w:after="60"/>
        <w:jc w:val="both"/>
      </w:pPr>
      <w:r>
        <w:rPr>
          <w:rFonts w:ascii="Arial" w:hAnsi="Arial" w:eastAsia="Arial" w:cs="Arial"/>
          <w:sz w:val="22"/>
          <w:szCs w:val="22"/>
        </w:rPr>
        <w:t>本发明公开了一种车联网平台跨异构通信边界的远控链路追踪缝合方法、系统及存储介质。针对TBox不具备OTel链路追踪能力导致远控指令下发链路和上报链路在TBox通信边界断裂的问题，本发明以远控业务固有的全局唯一下发标识（sendId）为关联锚点，在指令下发时将OTel链路上下文及多维业务属性存储至Redis缓存，当TBox将执行结果连同sendId回传至TSP服务后，从Redis中检索关联上下文，通过setParent机制使上报Span复用下发链路的traceId，并通过addLink建立Span Link携带TBox黑盒耗时，同时从缓存补偿Kafka消费线程丢失的OTel Baggage。本发明统一支持新能源车（Kafka+Netty长连接）和燃油车（EMQX+MQTT）两种异构通信场景，实现TBox零改造条件下的完整远控链路可观测。</w:t>
      </w:r>
    </w:p>
    <w:p w14:paraId="7EFEEC9B">
      <w:pPr>
        <w:spacing w:before="0" w:after="0"/>
      </w:pPr>
    </w:p>
    <w:p w14:paraId="402B5104">
      <w:pPr>
        <w:spacing w:before="0" w:after="0"/>
      </w:pPr>
    </w:p>
    <w:p w14:paraId="7DA9A34F">
      <w:pPr>
        <w:spacing w:before="60" w:after="60"/>
        <w:jc w:val="both"/>
      </w:pPr>
      <w:r>
        <w:rPr>
          <w:rFonts w:ascii="Arial" w:hAnsi="Arial" w:eastAsia="Arial" w:cs="Arial"/>
          <w:b/>
          <w:bCs/>
          <w:sz w:val="22"/>
          <w:szCs w:val="22"/>
        </w:rPr>
        <w:t>【关键词】车联网；分布式链路追踪；链路缝合；OpenTelemetry；TBox；异构通信；可观测性</w:t>
      </w:r>
    </w:p>
    <w:sectPr>
      <w:headerReference r:id="rId3" w:type="default"/>
      <w:footerReference r:id="rId4" w:type="default"/>
      <w:pgSz w:w="11906" w:h="16838"/>
      <w:pgMar w:top="1440" w:right="1440" w:bottom="1440" w:left="18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B1F316">
    <w:pPr>
      <w:pBdr>
        <w:top w:val="single" w:color="2E75B6" w:sz="4" w:space="2"/>
      </w:pBdr>
      <w:spacing w:before="80"/>
      <w:jc w:val="center"/>
    </w:pPr>
    <w:r>
      <w:rPr>
        <w:rFonts w:ascii="Arial" w:hAnsi="Arial" w:eastAsia="Arial" w:cs="Arial"/>
        <w:color w:val="595959"/>
        <w:sz w:val="18"/>
        <w:szCs w:val="18"/>
      </w:rPr>
      <w:t>机密 - 未经授权不得披露</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5C18C6">
    <w:pPr>
      <w:pBdr>
        <w:bottom w:val="single" w:color="2E75B6" w:sz="4" w:space="2"/>
      </w:pBdr>
      <w:spacing w:after="80"/>
      <w:jc w:val="right"/>
    </w:pPr>
    <w:r>
      <w:rPr>
        <w:rFonts w:ascii="Arial" w:hAnsi="Arial" w:eastAsia="Arial" w:cs="Arial"/>
        <w:color w:val="595959"/>
        <w:sz w:val="18"/>
        <w:szCs w:val="18"/>
      </w:rPr>
      <w:t>发明专利申请书  |  车联网远控链路追踪缝合方法</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abstractNum w:abstractNumId="1">
    <w:nsid w:val="59ADCABA"/>
    <w:multiLevelType w:val="singleLevel"/>
    <w:tmpl w:val="59ADCABA"/>
    <w:lvl w:ilvl="0" w:tentative="0">
      <w:start w:val="1"/>
      <w:numFmt w:val="decimal"/>
      <w:lvlText w:val="(%1)"/>
      <w:lvlJc w:val="left"/>
      <w:pPr>
        <w:ind w:left="720" w:hanging="36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isplayBackgroundShape w:val="1"/>
  <w:documentProtection w:enforcement="0"/>
  <w:compat>
    <w:useFELayout/>
    <w:compatSetting w:name="compatibilityMode" w:uri="http://schemas.microsoft.com/office/word" w:val="15"/>
  </w:compat>
  <w:rsids>
    <w:rsidRoot w:val="00000000"/>
    <w:rsid w:val="217F42D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Arial" w:hAnsi="Arial" w:eastAsia="Arial" w:cs="Arial"/>
      <w:sz w:val="22"/>
      <w:szCs w:val="22"/>
    </w:rPr>
  </w:style>
  <w:style w:type="paragraph" w:styleId="2">
    <w:name w:val="heading 1"/>
    <w:next w:val="1"/>
    <w:qFormat/>
    <w:uiPriority w:val="0"/>
    <w:pPr>
      <w:spacing w:before="320" w:after="160"/>
      <w:outlineLvl w:val="0"/>
    </w:pPr>
    <w:rPr>
      <w:rFonts w:ascii="Arial" w:hAnsi="Arial" w:eastAsia="Arial" w:cs="Arial"/>
      <w:b/>
      <w:bCs/>
      <w:color w:val="1F4E79"/>
      <w:sz w:val="32"/>
      <w:szCs w:val="32"/>
    </w:rPr>
  </w:style>
  <w:style w:type="paragraph" w:styleId="3">
    <w:name w:val="heading 2"/>
    <w:next w:val="1"/>
    <w:qFormat/>
    <w:uiPriority w:val="0"/>
    <w:pPr>
      <w:spacing w:before="240" w:after="120"/>
      <w:outlineLvl w:val="1"/>
    </w:pPr>
    <w:rPr>
      <w:rFonts w:ascii="Arial" w:hAnsi="Arial" w:eastAsia="Arial" w:cs="Arial"/>
      <w:b/>
      <w:bCs/>
      <w:color w:val="1F4E79"/>
      <w:sz w:val="28"/>
      <w:szCs w:val="28"/>
    </w:rPr>
  </w:style>
  <w:style w:type="paragraph" w:styleId="4">
    <w:name w:val="heading 3"/>
    <w:next w:val="1"/>
    <w:qFormat/>
    <w:uiPriority w:val="0"/>
    <w:pPr>
      <w:spacing w:before="180" w:after="80"/>
      <w:outlineLvl w:val="2"/>
    </w:pPr>
    <w:rPr>
      <w:rFonts w:ascii="Arial" w:hAnsi="Arial" w:eastAsia="Arial" w:cs="Arial"/>
      <w:b/>
      <w:bCs/>
      <w:color w:val="595959"/>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12">
    <w:name w:val="Default Paragraph Font"/>
    <w:semiHidden/>
    <w:uiPriority w:val="0"/>
  </w:style>
  <w:style w:type="table" w:default="1" w:styleId="11">
    <w:name w:val="Normal Table"/>
    <w:semiHidden/>
    <w:qFormat/>
    <w:uiPriority w:val="0"/>
    <w:tblPr>
      <w:tblCellMar>
        <w:top w:w="0" w:type="dxa"/>
        <w:left w:w="108" w:type="dxa"/>
        <w:bottom w:w="0" w:type="dxa"/>
        <w:right w:w="108" w:type="dxa"/>
      </w:tblCellMar>
    </w:tblPr>
  </w:style>
  <w:style w:type="paragraph" w:styleId="8">
    <w:name w:val="endnote text"/>
    <w:link w:val="18"/>
    <w:semiHidden/>
    <w:unhideWhenUsed/>
    <w:qFormat/>
    <w:uiPriority w:val="99"/>
    <w:pPr>
      <w:spacing w:after="0" w:line="240" w:lineRule="auto"/>
    </w:pPr>
    <w:rPr>
      <w:rFonts w:ascii="Arial" w:hAnsi="Arial" w:eastAsia="Arial" w:cs="Arial"/>
      <w:sz w:val="20"/>
      <w:szCs w:val="20"/>
    </w:rPr>
  </w:style>
  <w:style w:type="paragraph" w:styleId="9">
    <w:name w:val="footnote text"/>
    <w:link w:val="17"/>
    <w:semiHidden/>
    <w:unhideWhenUsed/>
    <w:qFormat/>
    <w:uiPriority w:val="99"/>
    <w:pPr>
      <w:spacing w:after="0" w:line="240" w:lineRule="auto"/>
    </w:pPr>
    <w:rPr>
      <w:rFonts w:ascii="Arial" w:hAnsi="Arial" w:eastAsia="Arial" w:cs="Arial"/>
      <w:sz w:val="20"/>
      <w:szCs w:val="20"/>
    </w:rPr>
  </w:style>
  <w:style w:type="paragraph" w:styleId="10">
    <w:name w:val="Title"/>
    <w:qFormat/>
    <w:uiPriority w:val="0"/>
    <w:rPr>
      <w:rFonts w:ascii="Arial" w:hAnsi="Arial" w:eastAsia="Arial" w:cs="Arial"/>
      <w:sz w:val="56"/>
      <w:szCs w:val="56"/>
    </w:rPr>
  </w:style>
  <w:style w:type="character" w:styleId="13">
    <w:name w:val="endnote reference"/>
    <w:semiHidden/>
    <w:unhideWhenUsed/>
    <w:qFormat/>
    <w:uiPriority w:val="99"/>
    <w:rPr>
      <w:vertAlign w:val="superscript"/>
    </w:rPr>
  </w:style>
  <w:style w:type="character" w:styleId="14">
    <w:name w:val="Hyperlink"/>
    <w:unhideWhenUsed/>
    <w:qFormat/>
    <w:uiPriority w:val="99"/>
    <w:rPr>
      <w:color w:val="0563C1"/>
      <w:u w:val="single"/>
    </w:rPr>
  </w:style>
  <w:style w:type="character" w:styleId="15">
    <w:name w:val="footnote reference"/>
    <w:semiHidden/>
    <w:unhideWhenUsed/>
    <w:qFormat/>
    <w:uiPriority w:val="99"/>
    <w:rPr>
      <w:vertAlign w:val="superscript"/>
    </w:rPr>
  </w:style>
  <w:style w:type="paragraph" w:styleId="16">
    <w:name w:val="List Paragraph"/>
    <w:qFormat/>
    <w:uiPriority w:val="0"/>
    <w:rPr>
      <w:rFonts w:ascii="Arial" w:hAnsi="Arial" w:eastAsia="Arial" w:cs="Arial"/>
      <w:sz w:val="22"/>
      <w:szCs w:val="22"/>
    </w:rPr>
  </w:style>
  <w:style w:type="character" w:customStyle="1" w:styleId="17">
    <w:name w:val="Footnote Text Char"/>
    <w:link w:val="9"/>
    <w:semiHidden/>
    <w:unhideWhenUsed/>
    <w:qFormat/>
    <w:uiPriority w:val="99"/>
    <w:rPr>
      <w:sz w:val="20"/>
      <w:szCs w:val="20"/>
    </w:rPr>
  </w:style>
  <w:style w:type="character" w:customStyle="1" w:styleId="18">
    <w:name w:val="Endnote Text Char"/>
    <w:link w:val="8"/>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15</Pages>
  <Words>1893</Words>
  <Characters>2987</Characters>
  <TotalTime>3</TotalTime>
  <ScaleCrop>false</ScaleCrop>
  <LinksUpToDate>false</LinksUpToDate>
  <CharactersWithSpaces>3054</CharactersWithSpaces>
  <Application>WPS Office_12.1.0.20784_F1E327BC-269C-435d-A152-05C5408002CA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2026-04-28T01:45:00Z</dcterms:created>
  <dc:creator>Un-named</dc:creator>
  <cp:lastModifiedBy>郑勇</cp:lastModifiedBy>
  <dcterms:modified xsi:type="dcterms:W3CDTF">2026-04-28T03:15:16Z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eyJoZGlkIjoiOGE4OTRhZWFiNGUzY2MzNjBmNTIzOTI1MDE3MWI0NDAiLCJ1c2VySWQiOiIxNjgzNTM2Nzg1In0=</vt:lpwstr>
  </property>
  <property fmtid="{D5CDD505-2E9C-101B-9397-08002B2CF9AE}" pid="3" name="KSOProductBuildVer">
    <vt:lpwstr>2052-12.1.0.20784</vt:lpwstr>
  </property>
  <property fmtid="{D5CDD505-2E9C-101B-9397-08002B2CF9AE}" pid="4" name="ICV">
    <vt:lpwstr>5487383D6F404917A581550B0CC3725A_12</vt:lpwstr>
  </property>
</Properties>
</file>