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EEE5F" w14:textId="77777777" w:rsidR="00542BEA" w:rsidRPr="00542BEA" w:rsidRDefault="00542BEA" w:rsidP="00542BEA">
      <w:pPr>
        <w:rPr>
          <w:b/>
          <w:bCs/>
        </w:rPr>
      </w:pPr>
      <w:r w:rsidRPr="00542BEA">
        <w:rPr>
          <w:b/>
          <w:bCs/>
        </w:rPr>
        <w:t>Discussion</w:t>
      </w:r>
    </w:p>
    <w:p w14:paraId="7B9B32AE" w14:textId="47E64D98" w:rsidR="00542BEA" w:rsidRDefault="00542BEA" w:rsidP="00542BEA">
      <w:pPr>
        <w:rPr>
          <w:b/>
          <w:bCs/>
          <w:color w:val="007BB8"/>
        </w:rPr>
      </w:pPr>
      <w:r>
        <w:rPr>
          <w:b/>
          <w:bCs/>
          <w:color w:val="007BB8"/>
        </w:rPr>
        <w:t>In our present study</w:t>
      </w:r>
      <w:r w:rsidR="00173371">
        <w:rPr>
          <w:b/>
          <w:bCs/>
          <w:color w:val="007BB8"/>
        </w:rPr>
        <w:t xml:space="preserve">, we investigated how early-life unpredictability (ELU) shape sequential stay-leave decisions </w:t>
      </w:r>
      <w:r w:rsidR="00CD0A18">
        <w:rPr>
          <w:b/>
          <w:bCs/>
          <w:color w:val="007BB8"/>
        </w:rPr>
        <w:t xml:space="preserve">under uncertainty. Using a structured patch foraging task and a computational model of uncertainty-adaptive planning, we </w:t>
      </w:r>
      <w:r w:rsidR="0091555B">
        <w:rPr>
          <w:b/>
          <w:bCs/>
          <w:color w:val="007BB8"/>
        </w:rPr>
        <w:t xml:space="preserve">showed that ELU was associated with uncertainty sensitivity discounting. Individual reporting higher ELU </w:t>
      </w:r>
      <w:r w:rsidR="00767C70">
        <w:rPr>
          <w:b/>
          <w:bCs/>
          <w:color w:val="007BB8"/>
        </w:rPr>
        <w:t xml:space="preserve">exhibited stronger </w:t>
      </w:r>
      <w:r w:rsidR="005E6352">
        <w:rPr>
          <w:b/>
          <w:bCs/>
          <w:color w:val="007BB8"/>
        </w:rPr>
        <w:t xml:space="preserve">uncertainty sensitivity </w:t>
      </w:r>
      <w:r w:rsidR="00280609">
        <w:rPr>
          <w:b/>
          <w:bCs/>
          <w:color w:val="007BB8"/>
        </w:rPr>
        <w:t xml:space="preserve">for environmental </w:t>
      </w:r>
      <w:r w:rsidR="001E4519">
        <w:rPr>
          <w:b/>
          <w:bCs/>
          <w:color w:val="007BB8"/>
        </w:rPr>
        <w:t xml:space="preserve">structure that in terms modulates stay-leave behavior. </w:t>
      </w:r>
      <w:r w:rsidR="006F56DF">
        <w:rPr>
          <w:b/>
          <w:bCs/>
          <w:color w:val="007BB8"/>
        </w:rPr>
        <w:t xml:space="preserve">Importantly, this uncertainty sensitivity predicts systematic overharvesting relative to the </w:t>
      </w:r>
      <w:r w:rsidR="00530EEB">
        <w:rPr>
          <w:b/>
          <w:bCs/>
          <w:color w:val="007BB8"/>
        </w:rPr>
        <w:t xml:space="preserve">Marginal Value Theorem (MVT) benchmark, and mediation analyses showed that the relationship between ELU and overharvesting was carried indirectly through </w:t>
      </w:r>
      <w:r w:rsidR="008B73FA">
        <w:rPr>
          <w:b/>
          <w:bCs/>
          <w:color w:val="007BB8"/>
        </w:rPr>
        <w:t>uncertainty sensitivity</w:t>
      </w:r>
      <w:r w:rsidR="00D426CE">
        <w:rPr>
          <w:b/>
          <w:bCs/>
          <w:color w:val="007BB8"/>
        </w:rPr>
        <w:t>. Together, our findings suggest that early-life unpredictability shapes adult decision-making not by di</w:t>
      </w:r>
      <w:r w:rsidR="00A557CA">
        <w:rPr>
          <w:b/>
          <w:bCs/>
          <w:color w:val="007BB8"/>
        </w:rPr>
        <w:t>rectly altering observable behavior, but by tuning how uncertainty influences planning and valuation.</w:t>
      </w:r>
    </w:p>
    <w:p w14:paraId="6C3BA43A" w14:textId="7CC93F45" w:rsidR="00FC214C" w:rsidRDefault="00FC214C" w:rsidP="00542BEA">
      <w:pPr>
        <w:rPr>
          <w:b/>
          <w:bCs/>
          <w:color w:val="007BB8"/>
        </w:rPr>
      </w:pPr>
      <w:r>
        <w:rPr>
          <w:b/>
          <w:bCs/>
          <w:color w:val="007BB8"/>
        </w:rPr>
        <w:t xml:space="preserve">Our findings build on recent theoretical work proposing that </w:t>
      </w:r>
      <w:r w:rsidR="00AA16BB">
        <w:rPr>
          <w:b/>
          <w:bCs/>
          <w:color w:val="007BB8"/>
        </w:rPr>
        <w:t xml:space="preserve">unpredictability during developmental-sensitive period selectively alters </w:t>
      </w:r>
      <w:r w:rsidR="00966DD7">
        <w:rPr>
          <w:b/>
          <w:bCs/>
          <w:color w:val="007BB8"/>
        </w:rPr>
        <w:t xml:space="preserve">psychiatric </w:t>
      </w:r>
      <w:r w:rsidR="001B1377">
        <w:rPr>
          <w:b/>
          <w:bCs/>
          <w:color w:val="007BB8"/>
        </w:rPr>
        <w:t>symptoms and neural systems involved in representing uncertainty and future expectations</w:t>
      </w:r>
      <w:r w:rsidR="001B1377" w:rsidRPr="001B1377">
        <w:t xml:space="preserve"> </w:t>
      </w:r>
      <w:r w:rsidR="001B1377" w:rsidRPr="001B1377">
        <w:rPr>
          <w:b/>
          <w:bCs/>
          <w:color w:val="007BB8"/>
        </w:rPr>
        <w:t>(</w:t>
      </w:r>
      <w:r w:rsidR="001B1377" w:rsidRPr="00542BEA">
        <w:rPr>
          <w:b/>
          <w:bCs/>
          <w:color w:val="007BB8"/>
        </w:rPr>
        <w:t>Baram et al., 2012; Birnie &amp; Baram, 2022; Spadoni et al., 2022).</w:t>
      </w:r>
      <w:r w:rsidR="001B1377">
        <w:rPr>
          <w:b/>
          <w:bCs/>
          <w:color w:val="007BB8"/>
        </w:rPr>
        <w:t xml:space="preserve"> </w:t>
      </w:r>
      <w:r w:rsidR="00300D8F">
        <w:rPr>
          <w:b/>
          <w:bCs/>
          <w:color w:val="007BB8"/>
        </w:rPr>
        <w:t>We i</w:t>
      </w:r>
      <w:r w:rsidR="004F7BB7">
        <w:rPr>
          <w:b/>
          <w:bCs/>
          <w:color w:val="007BB8"/>
        </w:rPr>
        <w:t xml:space="preserve">dentify a computation pathway that links ELU to </w:t>
      </w:r>
      <w:r w:rsidR="00874013">
        <w:rPr>
          <w:b/>
          <w:bCs/>
          <w:color w:val="007BB8"/>
        </w:rPr>
        <w:t>behavior with a naturalistic foraging task. In our model, uncertainty reduces the effective planning horizon by discounting the value of leaving</w:t>
      </w:r>
      <w:r w:rsidR="00BA3D23">
        <w:rPr>
          <w:b/>
          <w:bCs/>
          <w:color w:val="007BB8"/>
        </w:rPr>
        <w:t xml:space="preserve"> a patch. Participants with greater ELU therefore behaved as if uncertain future </w:t>
      </w:r>
      <w:r w:rsidR="00A96E3D">
        <w:rPr>
          <w:b/>
          <w:bCs/>
          <w:color w:val="007BB8"/>
        </w:rPr>
        <w:t xml:space="preserve">reward were less valuable, biasing them toward overharvesting in </w:t>
      </w:r>
      <w:proofErr w:type="gramStart"/>
      <w:r w:rsidR="00A96E3D">
        <w:rPr>
          <w:b/>
          <w:bCs/>
          <w:color w:val="007BB8"/>
        </w:rPr>
        <w:t>current</w:t>
      </w:r>
      <w:proofErr w:type="gramEnd"/>
      <w:r w:rsidR="00A96E3D">
        <w:rPr>
          <w:b/>
          <w:bCs/>
          <w:color w:val="007BB8"/>
        </w:rPr>
        <w:t xml:space="preserve"> patch. </w:t>
      </w:r>
    </w:p>
    <w:p w14:paraId="2CF476C0" w14:textId="64368119" w:rsidR="00E346B2" w:rsidRPr="00542BEA" w:rsidRDefault="0004069C" w:rsidP="00E346B2">
      <w:r>
        <w:rPr>
          <w:b/>
          <w:bCs/>
          <w:color w:val="007BB8"/>
        </w:rPr>
        <w:t xml:space="preserve">With our structural learning modeling, we </w:t>
      </w:r>
      <w:r w:rsidR="00E346B2" w:rsidRPr="00542BEA">
        <w:rPr>
          <w:b/>
          <w:bCs/>
          <w:color w:val="007BB8"/>
        </w:rPr>
        <w:t>replicate and extend prior work</w:t>
      </w:r>
      <w:r>
        <w:rPr>
          <w:b/>
          <w:bCs/>
          <w:color w:val="007BB8"/>
        </w:rPr>
        <w:t xml:space="preserve"> by</w:t>
      </w:r>
      <w:r w:rsidR="00E346B2" w:rsidRPr="00542BEA">
        <w:rPr>
          <w:b/>
          <w:bCs/>
          <w:color w:val="007BB8"/>
        </w:rPr>
        <w:t xml:space="preserve"> showing that human overharvesting can emerge from rational adaptation to latent environmental uncertainty rather than from simple failures of self-control or </w:t>
      </w:r>
      <w:proofErr w:type="gramStart"/>
      <w:r w:rsidR="00E346B2" w:rsidRPr="00542BEA">
        <w:rPr>
          <w:b/>
          <w:bCs/>
          <w:color w:val="007BB8"/>
        </w:rPr>
        <w:t>impulsivity</w:t>
      </w:r>
      <w:proofErr w:type="gramEnd"/>
      <w:r w:rsidR="00E346B2" w:rsidRPr="00542BEA">
        <w:rPr>
          <w:b/>
          <w:bCs/>
          <w:color w:val="007BB8"/>
        </w:rPr>
        <w:t xml:space="preserve"> (Constantino &amp; Daw, 2015; Harhen &amp; Bornstein, 2023; Webb et al., 2024). Within this framework, overharvesting reflects a computationally meaningful consequence of uncertainty-sensitive planning. Our results suggest that ELU systematically shifts the degree to which uncertainty </w:t>
      </w:r>
      <w:r w:rsidR="00E95A96">
        <w:rPr>
          <w:b/>
          <w:bCs/>
          <w:color w:val="007BB8"/>
        </w:rPr>
        <w:t xml:space="preserve">shapes </w:t>
      </w:r>
      <w:r w:rsidR="00E346B2" w:rsidRPr="00542BEA">
        <w:rPr>
          <w:b/>
          <w:bCs/>
          <w:color w:val="007BB8"/>
        </w:rPr>
        <w:t>future-oriented valuation.</w:t>
      </w:r>
    </w:p>
    <w:p w14:paraId="3430360B" w14:textId="43A84484" w:rsidR="00F66EF9" w:rsidRDefault="00542BEA" w:rsidP="00542BEA">
      <w:pPr>
        <w:rPr>
          <w:b/>
          <w:bCs/>
          <w:color w:val="007BB8"/>
        </w:rPr>
      </w:pPr>
      <w:r w:rsidRPr="00542BEA">
        <w:rPr>
          <w:b/>
          <w:bCs/>
          <w:color w:val="007BB8"/>
        </w:rPr>
        <w:t>A particularly i</w:t>
      </w:r>
      <w:r w:rsidR="00366FA9" w:rsidRPr="00366FA9">
        <w:rPr>
          <w:b/>
          <w:bCs/>
          <w:color w:val="007BB8"/>
        </w:rPr>
        <w:t xml:space="preserve">nteresting </w:t>
      </w:r>
      <w:r w:rsidRPr="00542BEA">
        <w:rPr>
          <w:b/>
          <w:bCs/>
          <w:color w:val="007BB8"/>
        </w:rPr>
        <w:t xml:space="preserve">aspect of the present findings is the dissociation between early-life unpredictability and trauma-related symptom severity. Although PTSD symptoms initially showed positive associations with uncertainty weighting, these effects were accounted for by variance shared with ELU. Once ELU and PCL factors were modeled simultaneously, only ELU uniquely predicted </w:t>
      </w:r>
      <w:proofErr w:type="spellStart"/>
      <w:r w:rsidRPr="00542BEA">
        <w:rPr>
          <w:b/>
          <w:bCs/>
          <w:color w:val="007BB8"/>
        </w:rPr>
        <w:t>γ_coef</w:t>
      </w:r>
      <w:proofErr w:type="spellEnd"/>
      <w:r w:rsidRPr="00542BEA">
        <w:rPr>
          <w:b/>
          <w:bCs/>
          <w:color w:val="007BB8"/>
        </w:rPr>
        <w:t xml:space="preserve">. This dissociation suggests that developmental unpredictability may influence uncertainty-sensitive planning through mechanisms partially distinct from those associated with later </w:t>
      </w:r>
      <w:r w:rsidRPr="00542BEA">
        <w:rPr>
          <w:b/>
          <w:bCs/>
          <w:color w:val="007BB8"/>
        </w:rPr>
        <w:lastRenderedPageBreak/>
        <w:t>traumatic experiences or current symptom burden. More broadly, the findings support emerging perspectives arguing that unpredictability during sensitive developmental periods calibrates core inferential and valuation systems that persist into adulthood (Birnie &amp; Baram, 2022).</w:t>
      </w:r>
    </w:p>
    <w:p w14:paraId="373D7151" w14:textId="3D57207C" w:rsidR="003A3EF8" w:rsidRDefault="003A3EF8" w:rsidP="00542BEA">
      <w:pPr>
        <w:rPr>
          <w:b/>
          <w:bCs/>
          <w:color w:val="007BB8"/>
        </w:rPr>
      </w:pPr>
      <w:r>
        <w:rPr>
          <w:b/>
          <w:bCs/>
          <w:color w:val="007BB8"/>
        </w:rPr>
        <w:t xml:space="preserve">For future research directions, our work raises the possibility </w:t>
      </w:r>
      <w:r w:rsidR="009378D7">
        <w:rPr>
          <w:b/>
          <w:bCs/>
          <w:color w:val="007BB8"/>
        </w:rPr>
        <w:t xml:space="preserve">that ELU shapes neural systems involved in predictive representations and estimation (say more here with neuroscience literature). </w:t>
      </w:r>
      <w:r w:rsidR="004C1A55">
        <w:rPr>
          <w:b/>
          <w:bCs/>
          <w:color w:val="007BB8"/>
        </w:rPr>
        <w:t>S</w:t>
      </w:r>
      <w:r w:rsidR="002B4C5E">
        <w:rPr>
          <w:b/>
          <w:bCs/>
          <w:color w:val="007BB8"/>
        </w:rPr>
        <w:t xml:space="preserve">equential foraging requires maintaining beliefs about hidden environmental </w:t>
      </w:r>
      <w:r w:rsidR="004C1A55">
        <w:rPr>
          <w:b/>
          <w:bCs/>
          <w:color w:val="007BB8"/>
        </w:rPr>
        <w:t xml:space="preserve">structures, estimating transition uncertainty, </w:t>
      </w:r>
      <w:r w:rsidR="00BC4033">
        <w:rPr>
          <w:b/>
          <w:bCs/>
          <w:color w:val="007BB8"/>
        </w:rPr>
        <w:t>planning for future actions.</w:t>
      </w:r>
    </w:p>
    <w:p w14:paraId="388254A3" w14:textId="77777777" w:rsidR="00217B06" w:rsidRDefault="00217B06" w:rsidP="00542BEA">
      <w:pPr>
        <w:rPr>
          <w:b/>
          <w:bCs/>
          <w:color w:val="007BB8"/>
        </w:rPr>
      </w:pPr>
    </w:p>
    <w:p w14:paraId="4EC53848" w14:textId="3CDE9805" w:rsidR="004C1A55" w:rsidRDefault="004C1A55" w:rsidP="00542BEA">
      <w:pPr>
        <w:rPr>
          <w:b/>
          <w:bCs/>
          <w:color w:val="007BB8"/>
        </w:rPr>
      </w:pPr>
      <w:r>
        <w:rPr>
          <w:b/>
          <w:bCs/>
          <w:color w:val="007BB8"/>
        </w:rPr>
        <w:t xml:space="preserve">Future research would expand these ideas in voluntarily transition environment. Or combing computational modeling with neural recording, clarifying </w:t>
      </w:r>
      <w:r w:rsidR="00BC4033">
        <w:rPr>
          <w:b/>
          <w:bCs/>
          <w:color w:val="007BB8"/>
        </w:rPr>
        <w:t xml:space="preserve">how ELU </w:t>
      </w:r>
      <w:proofErr w:type="spellStart"/>
      <w:r w:rsidR="00BC4033">
        <w:rPr>
          <w:b/>
          <w:bCs/>
          <w:color w:val="007BB8"/>
        </w:rPr>
        <w:t>shpaes</w:t>
      </w:r>
      <w:proofErr w:type="spellEnd"/>
      <w:r w:rsidR="00BC4033">
        <w:rPr>
          <w:b/>
          <w:bCs/>
          <w:color w:val="007BB8"/>
        </w:rPr>
        <w:t xml:space="preserve"> the neural representation of uncertainty and latent environment representation. </w:t>
      </w:r>
    </w:p>
    <w:p w14:paraId="7C40A8C5" w14:textId="77777777" w:rsidR="00BC4033" w:rsidRDefault="00BC4033" w:rsidP="00542BEA">
      <w:pPr>
        <w:rPr>
          <w:b/>
          <w:bCs/>
          <w:color w:val="007BB8"/>
        </w:rPr>
      </w:pPr>
    </w:p>
    <w:p w14:paraId="6D460361" w14:textId="0F892A92" w:rsidR="00BC4033" w:rsidRDefault="00BC4033" w:rsidP="00542BEA">
      <w:pPr>
        <w:rPr>
          <w:b/>
          <w:bCs/>
          <w:color w:val="007BB8"/>
        </w:rPr>
      </w:pPr>
      <w:r>
        <w:rPr>
          <w:b/>
          <w:bCs/>
          <w:color w:val="007BB8"/>
        </w:rPr>
        <w:t xml:space="preserve">Our study is not without </w:t>
      </w:r>
      <w:proofErr w:type="gramStart"/>
      <w:r w:rsidR="003368E1">
        <w:rPr>
          <w:b/>
          <w:bCs/>
          <w:color w:val="007BB8"/>
        </w:rPr>
        <w:t>limitations,</w:t>
      </w:r>
      <w:proofErr w:type="gramEnd"/>
      <w:r w:rsidR="003368E1">
        <w:rPr>
          <w:b/>
          <w:bCs/>
          <w:color w:val="007BB8"/>
        </w:rPr>
        <w:t xml:space="preserve"> several should be noted here. First, the present </w:t>
      </w:r>
      <w:r w:rsidR="007A3E99">
        <w:rPr>
          <w:b/>
          <w:bCs/>
          <w:color w:val="007BB8"/>
        </w:rPr>
        <w:t>data cannot establish causal developmental effects of ELU</w:t>
      </w:r>
      <w:r w:rsidR="00F7143D">
        <w:rPr>
          <w:b/>
          <w:bCs/>
          <w:color w:val="007BB8"/>
        </w:rPr>
        <w:t xml:space="preserve"> in directly shaping uncertainty-sensitive planning</w:t>
      </w:r>
      <w:r w:rsidR="007A3E99">
        <w:rPr>
          <w:b/>
          <w:bCs/>
          <w:color w:val="007BB8"/>
        </w:rPr>
        <w:t>. To measure that, longitudinal studies will be needed</w:t>
      </w:r>
      <w:r w:rsidR="00F7143D">
        <w:rPr>
          <w:b/>
          <w:bCs/>
          <w:color w:val="007BB8"/>
        </w:rPr>
        <w:t xml:space="preserve">. Second, we did not </w:t>
      </w:r>
      <w:proofErr w:type="gramStart"/>
      <w:r w:rsidR="00F7143D">
        <w:rPr>
          <w:b/>
          <w:bCs/>
          <w:color w:val="007BB8"/>
        </w:rPr>
        <w:t>examined</w:t>
      </w:r>
      <w:proofErr w:type="gramEnd"/>
      <w:r w:rsidR="00F7143D">
        <w:rPr>
          <w:b/>
          <w:bCs/>
          <w:color w:val="007BB8"/>
        </w:rPr>
        <w:t xml:space="preserve"> alternative computational models</w:t>
      </w:r>
      <w:r w:rsidR="00403C07">
        <w:rPr>
          <w:b/>
          <w:bCs/>
          <w:color w:val="007BB8"/>
        </w:rPr>
        <w:t xml:space="preserve"> (may also explain aspects of the observed behaviors). Third, the current study relied on retrospective self-report measures of unpredictability and trauma exposure, which may be influenced by recall biases</w:t>
      </w:r>
      <w:r w:rsidR="00217B06">
        <w:rPr>
          <w:b/>
          <w:bCs/>
          <w:color w:val="007BB8"/>
        </w:rPr>
        <w:t>.</w:t>
      </w:r>
    </w:p>
    <w:p w14:paraId="0F7F3F0A" w14:textId="77777777" w:rsidR="00542BEA" w:rsidRPr="00542BEA" w:rsidRDefault="00542BEA" w:rsidP="00542BEA">
      <w:pPr>
        <w:rPr>
          <w:b/>
          <w:bCs/>
          <w:color w:val="007BB8"/>
        </w:rPr>
      </w:pPr>
      <w:r w:rsidRPr="00542BEA">
        <w:rPr>
          <w:b/>
          <w:bCs/>
          <w:color w:val="007BB8"/>
        </w:rPr>
        <w:t>In summary, we show that early-life unpredictability is associated with increased uncertainty-sensitive discounting during sequential foraging. This latent computational phenotype predicts systematic overharvesting relative to normative foraging benchmarks and mediates the relationship between developmental unpredictability and behavior. By dissociating the influence of early-life unpredictability from trauma symptom severity, the present work provides evidence that developmental unpredictability selectively shapes how uncertainty is incorporated into planning and valuation. These findings support the broader idea that early environments calibrate core computational mechanisms underlying adaptive behavior under uncertainty.</w:t>
      </w:r>
    </w:p>
    <w:p w14:paraId="6F85F381" w14:textId="77777777" w:rsidR="009E0C73" w:rsidRDefault="009E0C73"/>
    <w:sectPr w:rsidR="009E0C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B5C7B" w14:textId="77777777" w:rsidR="00666784" w:rsidRDefault="00666784" w:rsidP="00542BEA">
      <w:pPr>
        <w:spacing w:after="0" w:line="240" w:lineRule="auto"/>
      </w:pPr>
      <w:r>
        <w:separator/>
      </w:r>
    </w:p>
  </w:endnote>
  <w:endnote w:type="continuationSeparator" w:id="0">
    <w:p w14:paraId="78C58AAA" w14:textId="77777777" w:rsidR="00666784" w:rsidRDefault="00666784" w:rsidP="00542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DC388" w14:textId="77777777" w:rsidR="00666784" w:rsidRDefault="00666784" w:rsidP="00542BEA">
      <w:pPr>
        <w:spacing w:after="0" w:line="240" w:lineRule="auto"/>
      </w:pPr>
      <w:r>
        <w:separator/>
      </w:r>
    </w:p>
  </w:footnote>
  <w:footnote w:type="continuationSeparator" w:id="0">
    <w:p w14:paraId="35960D02" w14:textId="77777777" w:rsidR="00666784" w:rsidRDefault="00666784" w:rsidP="00542B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25B"/>
    <w:rsid w:val="0004069C"/>
    <w:rsid w:val="000E7D80"/>
    <w:rsid w:val="00173371"/>
    <w:rsid w:val="001B1377"/>
    <w:rsid w:val="001E4519"/>
    <w:rsid w:val="002033E4"/>
    <w:rsid w:val="00217B06"/>
    <w:rsid w:val="00280609"/>
    <w:rsid w:val="002B4C5E"/>
    <w:rsid w:val="00300D8F"/>
    <w:rsid w:val="003368E1"/>
    <w:rsid w:val="00366FA9"/>
    <w:rsid w:val="003A3EF8"/>
    <w:rsid w:val="00403C07"/>
    <w:rsid w:val="004C1A55"/>
    <w:rsid w:val="004F7BB7"/>
    <w:rsid w:val="00530EEB"/>
    <w:rsid w:val="00542BEA"/>
    <w:rsid w:val="005E6352"/>
    <w:rsid w:val="00666784"/>
    <w:rsid w:val="006A64BB"/>
    <w:rsid w:val="006F56DF"/>
    <w:rsid w:val="00767C70"/>
    <w:rsid w:val="00776F45"/>
    <w:rsid w:val="007A3E99"/>
    <w:rsid w:val="00870A7D"/>
    <w:rsid w:val="00874013"/>
    <w:rsid w:val="008A3FA5"/>
    <w:rsid w:val="008B73FA"/>
    <w:rsid w:val="008D315F"/>
    <w:rsid w:val="0091555B"/>
    <w:rsid w:val="009270AA"/>
    <w:rsid w:val="009378D7"/>
    <w:rsid w:val="00966DD7"/>
    <w:rsid w:val="009E0C73"/>
    <w:rsid w:val="00A557CA"/>
    <w:rsid w:val="00A96E3D"/>
    <w:rsid w:val="00AA16BB"/>
    <w:rsid w:val="00BA0EE0"/>
    <w:rsid w:val="00BA3D23"/>
    <w:rsid w:val="00BC4033"/>
    <w:rsid w:val="00BE746E"/>
    <w:rsid w:val="00CD0A18"/>
    <w:rsid w:val="00D426CE"/>
    <w:rsid w:val="00DB025B"/>
    <w:rsid w:val="00DE1354"/>
    <w:rsid w:val="00E319DB"/>
    <w:rsid w:val="00E346B2"/>
    <w:rsid w:val="00E95A96"/>
    <w:rsid w:val="00F66EF9"/>
    <w:rsid w:val="00F7143D"/>
    <w:rsid w:val="00FC214C"/>
    <w:rsid w:val="00FF3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24E34"/>
  <w15:chartTrackingRefBased/>
  <w15:docId w15:val="{96916377-06D9-4999-BB1A-4F10609ED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25B"/>
    <w:rPr>
      <w:rFonts w:eastAsiaTheme="majorEastAsia" w:cstheme="majorBidi"/>
      <w:color w:val="272727" w:themeColor="text1" w:themeTint="D8"/>
    </w:rPr>
  </w:style>
  <w:style w:type="paragraph" w:styleId="Title">
    <w:name w:val="Title"/>
    <w:basedOn w:val="Normal"/>
    <w:next w:val="Normal"/>
    <w:link w:val="TitleChar"/>
    <w:uiPriority w:val="10"/>
    <w:qFormat/>
    <w:rsid w:val="00DB0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25B"/>
    <w:pPr>
      <w:spacing w:before="160"/>
      <w:jc w:val="center"/>
    </w:pPr>
    <w:rPr>
      <w:i/>
      <w:iCs/>
      <w:color w:val="404040" w:themeColor="text1" w:themeTint="BF"/>
    </w:rPr>
  </w:style>
  <w:style w:type="character" w:customStyle="1" w:styleId="QuoteChar">
    <w:name w:val="Quote Char"/>
    <w:basedOn w:val="DefaultParagraphFont"/>
    <w:link w:val="Quote"/>
    <w:uiPriority w:val="29"/>
    <w:rsid w:val="00DB025B"/>
    <w:rPr>
      <w:i/>
      <w:iCs/>
      <w:color w:val="404040" w:themeColor="text1" w:themeTint="BF"/>
    </w:rPr>
  </w:style>
  <w:style w:type="paragraph" w:styleId="ListParagraph">
    <w:name w:val="List Paragraph"/>
    <w:basedOn w:val="Normal"/>
    <w:uiPriority w:val="34"/>
    <w:qFormat/>
    <w:rsid w:val="00DB025B"/>
    <w:pPr>
      <w:ind w:left="720"/>
      <w:contextualSpacing/>
    </w:pPr>
  </w:style>
  <w:style w:type="character" w:styleId="IntenseEmphasis">
    <w:name w:val="Intense Emphasis"/>
    <w:basedOn w:val="DefaultParagraphFont"/>
    <w:uiPriority w:val="21"/>
    <w:qFormat/>
    <w:rsid w:val="00DB025B"/>
    <w:rPr>
      <w:i/>
      <w:iCs/>
      <w:color w:val="0F4761" w:themeColor="accent1" w:themeShade="BF"/>
    </w:rPr>
  </w:style>
  <w:style w:type="paragraph" w:styleId="IntenseQuote">
    <w:name w:val="Intense Quote"/>
    <w:basedOn w:val="Normal"/>
    <w:next w:val="Normal"/>
    <w:link w:val="IntenseQuoteChar"/>
    <w:uiPriority w:val="30"/>
    <w:qFormat/>
    <w:rsid w:val="00DB0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25B"/>
    <w:rPr>
      <w:i/>
      <w:iCs/>
      <w:color w:val="0F4761" w:themeColor="accent1" w:themeShade="BF"/>
    </w:rPr>
  </w:style>
  <w:style w:type="character" w:styleId="IntenseReference">
    <w:name w:val="Intense Reference"/>
    <w:basedOn w:val="DefaultParagraphFont"/>
    <w:uiPriority w:val="32"/>
    <w:qFormat/>
    <w:rsid w:val="00DB025B"/>
    <w:rPr>
      <w:b/>
      <w:bCs/>
      <w:smallCaps/>
      <w:color w:val="0F4761" w:themeColor="accent1" w:themeShade="BF"/>
      <w:spacing w:val="5"/>
    </w:rPr>
  </w:style>
  <w:style w:type="paragraph" w:styleId="Header">
    <w:name w:val="header"/>
    <w:basedOn w:val="Normal"/>
    <w:link w:val="HeaderChar"/>
    <w:uiPriority w:val="99"/>
    <w:unhideWhenUsed/>
    <w:rsid w:val="00542B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BEA"/>
  </w:style>
  <w:style w:type="paragraph" w:styleId="Footer">
    <w:name w:val="footer"/>
    <w:basedOn w:val="Normal"/>
    <w:link w:val="FooterChar"/>
    <w:uiPriority w:val="99"/>
    <w:unhideWhenUsed/>
    <w:rsid w:val="00542B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140410">
      <w:bodyDiv w:val="1"/>
      <w:marLeft w:val="0"/>
      <w:marRight w:val="0"/>
      <w:marTop w:val="0"/>
      <w:marBottom w:val="0"/>
      <w:divBdr>
        <w:top w:val="none" w:sz="0" w:space="0" w:color="auto"/>
        <w:left w:val="none" w:sz="0" w:space="0" w:color="auto"/>
        <w:bottom w:val="none" w:sz="0" w:space="0" w:color="auto"/>
        <w:right w:val="none" w:sz="0" w:space="0" w:color="auto"/>
      </w:divBdr>
    </w:div>
    <w:div w:id="1949462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725</Words>
  <Characters>4133</Characters>
  <Application>Microsoft Office Word</Application>
  <DocSecurity>0</DocSecurity>
  <Lines>34</Lines>
  <Paragraphs>9</Paragraphs>
  <ScaleCrop>false</ScaleCrop>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Yifan Zhang</dc:creator>
  <cp:keywords/>
  <dc:description/>
  <cp:lastModifiedBy>Yifan Zhang</cp:lastModifiedBy>
  <cp:revision>50</cp:revision>
  <dcterms:created xsi:type="dcterms:W3CDTF">2026-05-09T20:57:00Z</dcterms:created>
  <dcterms:modified xsi:type="dcterms:W3CDTF">2026-05-09T21:49:00Z</dcterms:modified>
</cp:coreProperties>
</file>