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黑体"/>
          <w:b/>
          <w:sz w:val="40"/>
        </w:rPr>
        <w:t>板凳龙公共几何模型</w:t>
      </w:r>
    </w:p>
    <w:p>
      <w:pPr>
        <w:jc w:val="center"/>
      </w:pPr>
      <w:r>
        <w:t>公共几何模型阶段交付｜2024年高教社杯A题“板凳龙”</w:t>
      </w:r>
      <w:r>
        <w:rPr>
          <w:rFonts w:ascii="Times New Roman" w:hAnsi="Times New Roman" w:eastAsia="宋体"/>
          <w:sz w:val="20"/>
        </w:rPr>
      </w:r>
    </w:p>
    <w:p>
      <w:pPr>
        <w:pStyle w:val="Heading1"/>
      </w:pPr>
      <w:r>
        <w:t>1. 公共模型要回答什么</w:t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五个问题虽然分别涉及位置与速度、碰撞、最小螺距、调头路径和速度上限，但都必须先回答同一个几何问题：给定龙头所在轨迹位置和当前轨迹，如何唯一、稳定地还原整条板凳龙的 224 个把手中心以及 223 块实体板凳。</w:t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因此，公共模型只承担四项基础工作：统一轨迹表示、逐节点恢复把手中心、恢复板凳实体矩形、输出可供后续模型调用的几何状态。时间、速度、碰撞和优化变量分别留在对应分题中，不提前混入公共模型。</w:t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本模型的输入与输出为：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17"/>
        <w:gridCol w:w="4717"/>
      </w:tblGrid>
      <w:tr>
        <w:tc>
          <w:tcPr>
            <w:tcW w:type="dxa" w:w="4717"/>
            <w:vAlign w:val="center"/>
          </w:tcPr>
          <w:p>
            <w:pPr>
              <w:jc w:val="center"/>
              <w:shd w:fill="DCE6F1"/>
            </w:pPr>
            <w:r>
              <w:rPr>
                <w:rFonts w:ascii="Times New Roman" w:hAnsi="Times New Roman" w:eastAsia="宋体"/>
                <w:b/>
                <w:sz w:val="19"/>
              </w:rPr>
              <w:t>类型</w:t>
            </w:r>
          </w:p>
        </w:tc>
        <w:tc>
          <w:tcPr>
            <w:tcW w:type="dxa" w:w="4717"/>
            <w:vAlign w:val="center"/>
          </w:tcPr>
          <w:p>
            <w:pPr>
              <w:jc w:val="center"/>
              <w:shd w:fill="DCE6F1"/>
            </w:pPr>
            <w:r>
              <w:rPr>
                <w:rFonts w:ascii="Times New Roman" w:hAnsi="Times New Roman" w:eastAsia="宋体"/>
                <w:b/>
                <w:sz w:val="19"/>
              </w:rPr>
              <w:t>内容</w:t>
            </w:r>
          </w:p>
        </w:tc>
      </w:tr>
      <w:tr>
        <w:tc>
          <w:tcPr>
            <w:tcW w:type="dxa" w:w="4717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输入</w:t>
            </w:r>
          </w:p>
        </w:tc>
        <w:tc>
          <w:tcPr>
            <w:tcW w:type="dxa" w:w="4717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当前轨迹 Γ(q)、龙头轨迹参数 q₀、各把手中心距 Lᵢ、板凳长宽参数</w:t>
            </w:r>
          </w:p>
        </w:tc>
      </w:tr>
      <w:tr>
        <w:tc>
          <w:tcPr>
            <w:tcW w:type="dxa" w:w="4717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输出</w:t>
            </w:r>
          </w:p>
        </w:tc>
        <w:tc>
          <w:tcPr>
            <w:tcW w:type="dxa" w:w="4717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224 个把手中心 P₀,…,P₂₂₃ 和 223 个实体矩形 R₁,…,R₂₂₃</w:t>
            </w:r>
          </w:p>
        </w:tc>
      </w:tr>
      <w:tr>
        <w:tc>
          <w:tcPr>
            <w:tcW w:type="dxa" w:w="4717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完成标准</w:t>
            </w:r>
          </w:p>
        </w:tc>
        <w:tc>
          <w:tcPr>
            <w:tcW w:type="dxa" w:w="4717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节点顺序连续、相邻距离满足题面、求交不跳圈、矩形方向和角点可恢复</w:t>
            </w:r>
          </w:p>
        </w:tc>
      </w:tr>
      <w:tr>
        <w:tc>
          <w:tcPr>
            <w:tcW w:type="dxa" w:w="4717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下游用途</w:t>
            </w:r>
          </w:p>
        </w:tc>
        <w:tc>
          <w:tcPr>
            <w:tcW w:type="dxa" w:w="4717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问题1增加速度，问题2增加碰撞，问题3改变螺距，问题4替换轨迹，问题5复用几何与速度接口</w:t>
            </w:r>
          </w:p>
        </w:tc>
      </w:tr>
    </w:tbl>
    <w:p>
      <w:pPr>
        <w:pStyle w:val="Heading1"/>
      </w:pPr>
      <w:r>
        <w:t>2. 为什么采用逐节点几何递推</w:t>
      </w:r>
    </w:p>
    <w:p>
      <w:pPr>
        <w:pStyle w:val="Heading2"/>
      </w:pPr>
      <w:r>
        <w:t>2.1 为什么不一次求解整条龙</w:t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若把 224 个节点的轨迹参数同时作为未知量，需要一次求解 223 个相互耦合的非线性定长方程。螺线与定长圆可能存在多个交点，全局方程组不仅规模较大，而且容易收敛到节点顺序错误或跨越螺线圈层的数学根。</w:t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板凳龙本身是一条首尾串联的链式结构。已知前一个把手后，后一个把手只需同时满足“位于轨迹上”和“与前一把手距离固定”两个条件。因此沿龙头到龙尾逐节点递推，可把大规模耦合问题拆成 223 个一维求根问题；每一步都能立即检查距离和节点顺序，失败位置也可以准确定位。</w:t>
      </w:r>
    </w:p>
    <w:p>
      <w:pPr>
        <w:pStyle w:val="Heading2"/>
      </w:pPr>
      <w:r>
        <w:t>2.2 为什么必须使用真实轨迹求交</w:t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局部圆弧近似只能在很短的区间内近似螺线曲率。误差逐节累计后，会改变龙尾位置、板凳方向和角点，进而污染问题2、3中的碰撞判断。因此，本模型始终用定长圆与真实轨迹 Γ(q) 求交，不用局部圆弧替代。</w:t>
      </w:r>
    </w:p>
    <w:p>
      <w:pPr>
        <w:pStyle w:val="Heading2"/>
      </w:pPr>
      <w:r>
        <w:t>2.3 为什么设置“最近有效根”</w:t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同一个定长圆可能与不同螺线圈相交。仅满足距离方程还不能保证它是物理上的下一节点。模型必须同时保留轨迹方向、节点参数顺序和最小有效参数增量，选择沿龙身方向遇到的第一个交点，从而防止跳圈和节点交叉。</w:t>
      </w:r>
    </w:p>
    <w:p>
      <w:pPr>
        <w:pStyle w:val="Heading2"/>
      </w:pPr>
      <w:r>
        <w:t>2.4 为什么从轴线进一步恢复矩形</w:t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把手中心链只能描述板凳轴线，不能判断实体板凳是否接触。两个相邻把手中心同时确定板凳中心、方向和法向，再结合真实板长和板宽即可恢复有向矩形。这样问题2和问题3可以直接使用同一实体几何，不需要重新定义碰撞对象。</w:t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综合比较后，本题采用“真实轨迹参数化＋定长圆逐节点求交＋最近有效根＋有向矩形恢复”。没有采用全局非线性联立求解，也没有采用局部圆弧或折线近似。</w:t>
      </w:r>
    </w:p>
    <w:p>
      <w:pPr>
        <w:pStyle w:val="Heading1"/>
      </w:pPr>
      <w:r>
        <w:t>3. 从输入到输出的完整过程</w:t>
      </w:r>
    </w:p>
    <w:p>
      <w:pPr>
        <w:pStyle w:val="Heading2"/>
      </w:pPr>
      <w:r>
        <w:t>3.1 文字流程图</w:t>
      </w:r>
    </w:p>
    <w:p>
      <w:pPr>
        <w:ind w:left="283" w:right="283"/>
        <w:shd w:fill="F3F6F9"/>
      </w:pPr>
      <w:r>
        <w:rPr>
          <w:rFonts w:ascii="Consolas" w:hAnsi="Consolas" w:eastAsia="等线"/>
          <w:sz w:val="19"/>
        </w:rPr>
        <w:t>[轨迹与尺寸] → [建立 Γ(q)] → [给定 P₀] → [定长圆求最近有效根] → [生成节点链] → [恢复有向矩形] → [几何检查]</w:t>
      </w:r>
    </w:p>
    <w:p>
      <w:pPr>
        <w:pStyle w:val="Heading2"/>
      </w:pPr>
      <w:r>
        <w:t>3.2 建模模块与数据接口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72"/>
        <w:gridCol w:w="1572"/>
        <w:gridCol w:w="1572"/>
        <w:gridCol w:w="1572"/>
        <w:gridCol w:w="1572"/>
        <w:gridCol w:w="1572"/>
      </w:tblGrid>
      <w:tr>
        <w:tc>
          <w:tcPr>
            <w:tcW w:type="dxa" w:w="1572"/>
            <w:vAlign w:val="center"/>
          </w:tcPr>
          <w:p>
            <w:pPr>
              <w:jc w:val="center"/>
              <w:shd w:fill="DCE6F1"/>
            </w:pPr>
            <w:r>
              <w:rPr>
                <w:rFonts w:ascii="Times New Roman" w:hAnsi="Times New Roman" w:eastAsia="宋体"/>
                <w:b/>
                <w:sz w:val="19"/>
              </w:rPr>
              <w:t>建模模块</w:t>
            </w:r>
          </w:p>
        </w:tc>
        <w:tc>
          <w:tcPr>
            <w:tcW w:type="dxa" w:w="1572"/>
            <w:vAlign w:val="center"/>
          </w:tcPr>
          <w:p>
            <w:pPr>
              <w:jc w:val="center"/>
              <w:shd w:fill="DCE6F1"/>
            </w:pPr>
            <w:r>
              <w:rPr>
                <w:rFonts w:ascii="Times New Roman" w:hAnsi="Times New Roman" w:eastAsia="宋体"/>
                <w:b/>
                <w:sz w:val="19"/>
              </w:rPr>
              <w:t>为什么需要</w:t>
            </w:r>
          </w:p>
        </w:tc>
        <w:tc>
          <w:tcPr>
            <w:tcW w:type="dxa" w:w="1572"/>
            <w:vAlign w:val="center"/>
          </w:tcPr>
          <w:p>
            <w:pPr>
              <w:jc w:val="center"/>
              <w:shd w:fill="DCE6F1"/>
            </w:pPr>
            <w:r>
              <w:rPr>
                <w:rFonts w:ascii="Times New Roman" w:hAnsi="Times New Roman" w:eastAsia="宋体"/>
                <w:b/>
                <w:sz w:val="19"/>
              </w:rPr>
              <w:t>输入</w:t>
            </w:r>
          </w:p>
        </w:tc>
        <w:tc>
          <w:tcPr>
            <w:tcW w:type="dxa" w:w="1572"/>
            <w:vAlign w:val="center"/>
          </w:tcPr>
          <w:p>
            <w:pPr>
              <w:jc w:val="center"/>
              <w:shd w:fill="DCE6F1"/>
            </w:pPr>
            <w:r>
              <w:rPr>
                <w:rFonts w:ascii="Times New Roman" w:hAnsi="Times New Roman" w:eastAsia="宋体"/>
                <w:b/>
                <w:sz w:val="19"/>
              </w:rPr>
              <w:t>核心处理</w:t>
            </w:r>
          </w:p>
        </w:tc>
        <w:tc>
          <w:tcPr>
            <w:tcW w:type="dxa" w:w="1572"/>
            <w:vAlign w:val="center"/>
          </w:tcPr>
          <w:p>
            <w:pPr>
              <w:jc w:val="center"/>
              <w:shd w:fill="DCE6F1"/>
            </w:pPr>
            <w:r>
              <w:rPr>
                <w:rFonts w:ascii="Times New Roman" w:hAnsi="Times New Roman" w:eastAsia="宋体"/>
                <w:b/>
                <w:sz w:val="19"/>
              </w:rPr>
              <w:t>输出</w:t>
            </w:r>
          </w:p>
        </w:tc>
        <w:tc>
          <w:tcPr>
            <w:tcW w:type="dxa" w:w="1572"/>
            <w:vAlign w:val="center"/>
          </w:tcPr>
          <w:p>
            <w:pPr>
              <w:jc w:val="center"/>
              <w:shd w:fill="DCE6F1"/>
            </w:pPr>
            <w:r>
              <w:rPr>
                <w:rFonts w:ascii="Times New Roman" w:hAnsi="Times New Roman" w:eastAsia="宋体"/>
                <w:b/>
                <w:sz w:val="19"/>
              </w:rPr>
              <w:t>后续用途</w:t>
            </w:r>
          </w:p>
        </w:tc>
      </w:tr>
      <w:tr>
        <w:tc>
          <w:tcPr>
            <w:tcW w:type="dxa" w:w="157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轨迹参数化</w:t>
            </w:r>
          </w:p>
        </w:tc>
        <w:tc>
          <w:tcPr>
            <w:tcW w:type="dxa" w:w="157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将曲线变为可计算对象</w:t>
            </w:r>
          </w:p>
        </w:tc>
        <w:tc>
          <w:tcPr>
            <w:tcW w:type="dxa" w:w="157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轨迹、螺距/圆弧参数</w:t>
            </w:r>
          </w:p>
        </w:tc>
        <w:tc>
          <w:tcPr>
            <w:tcW w:type="dxa" w:w="157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建立 Γ(q)</w:t>
            </w:r>
          </w:p>
        </w:tc>
        <w:tc>
          <w:tcPr>
            <w:tcW w:type="dxa" w:w="157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曲线点和方向</w:t>
            </w:r>
          </w:p>
        </w:tc>
        <w:tc>
          <w:tcPr>
            <w:tcW w:type="dxa" w:w="157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节点定位</w:t>
            </w:r>
          </w:p>
        </w:tc>
      </w:tr>
      <w:tr>
        <w:tc>
          <w:tcPr>
            <w:tcW w:type="dxa" w:w="157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龙头节点</w:t>
            </w:r>
          </w:p>
        </w:tc>
        <w:tc>
          <w:tcPr>
            <w:tcW w:type="dxa" w:w="157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提供唯一初值</w:t>
            </w:r>
          </w:p>
        </w:tc>
        <w:tc>
          <w:tcPr>
            <w:tcW w:type="dxa" w:w="157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q₀,Γ</w:t>
            </w:r>
          </w:p>
        </w:tc>
        <w:tc>
          <w:tcPr>
            <w:tcW w:type="dxa" w:w="157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计算 P₀</w:t>
            </w:r>
          </w:p>
        </w:tc>
        <w:tc>
          <w:tcPr>
            <w:tcW w:type="dxa" w:w="157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龙头中心</w:t>
            </w:r>
          </w:p>
        </w:tc>
        <w:tc>
          <w:tcPr>
            <w:tcW w:type="dxa" w:w="157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启动递推</w:t>
            </w:r>
          </w:p>
        </w:tc>
      </w:tr>
      <w:tr>
        <w:tc>
          <w:tcPr>
            <w:tcW w:type="dxa" w:w="157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定长圆求交</w:t>
            </w:r>
          </w:p>
        </w:tc>
        <w:tc>
          <w:tcPr>
            <w:tcW w:type="dxa" w:w="157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固定相邻中心距</w:t>
            </w:r>
          </w:p>
        </w:tc>
        <w:tc>
          <w:tcPr>
            <w:tcW w:type="dxa" w:w="157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Pᵢ₋₁,Lᵢ,Γ</w:t>
            </w:r>
          </w:p>
        </w:tc>
        <w:tc>
          <w:tcPr>
            <w:tcW w:type="dxa" w:w="157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求最近有效根</w:t>
            </w:r>
          </w:p>
        </w:tc>
        <w:tc>
          <w:tcPr>
            <w:tcW w:type="dxa" w:w="157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qᵢ,Pᵢ</w:t>
            </w:r>
          </w:p>
        </w:tc>
        <w:tc>
          <w:tcPr>
            <w:tcW w:type="dxa" w:w="157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生成下一节点</w:t>
            </w:r>
          </w:p>
        </w:tc>
      </w:tr>
      <w:tr>
        <w:tc>
          <w:tcPr>
            <w:tcW w:type="dxa" w:w="157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节点链诊断</w:t>
            </w:r>
          </w:p>
        </w:tc>
        <w:tc>
          <w:tcPr>
            <w:tcW w:type="dxa" w:w="157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防止跳圈和错误分支</w:t>
            </w:r>
          </w:p>
        </w:tc>
        <w:tc>
          <w:tcPr>
            <w:tcW w:type="dxa" w:w="157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qᵢ,Pᵢ</w:t>
            </w:r>
          </w:p>
        </w:tc>
        <w:tc>
          <w:tcPr>
            <w:tcW w:type="dxa" w:w="157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检查顺序、距离、连续性</w:t>
            </w:r>
          </w:p>
        </w:tc>
        <w:tc>
          <w:tcPr>
            <w:tcW w:type="dxa" w:w="157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可用链或失败点</w:t>
            </w:r>
          </w:p>
        </w:tc>
        <w:tc>
          <w:tcPr>
            <w:tcW w:type="dxa" w:w="157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几何诊断</w:t>
            </w:r>
          </w:p>
        </w:tc>
      </w:tr>
      <w:tr>
        <w:tc>
          <w:tcPr>
            <w:tcW w:type="dxa" w:w="157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实体矩形恢复</w:t>
            </w:r>
          </w:p>
        </w:tc>
        <w:tc>
          <w:tcPr>
            <w:tcW w:type="dxa" w:w="157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为碰撞提供实体</w:t>
            </w:r>
          </w:p>
        </w:tc>
        <w:tc>
          <w:tcPr>
            <w:tcW w:type="dxa" w:w="157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Pᵢ₋₁,Pᵢ、板长宽</w:t>
            </w:r>
          </w:p>
        </w:tc>
        <w:tc>
          <w:tcPr>
            <w:tcW w:type="dxa" w:w="157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求中心、方向、角点</w:t>
            </w:r>
          </w:p>
        </w:tc>
        <w:tc>
          <w:tcPr>
            <w:tcW w:type="dxa" w:w="157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Rᵢ</w:t>
            </w:r>
          </w:p>
        </w:tc>
        <w:tc>
          <w:tcPr>
            <w:tcW w:type="dxa" w:w="157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Q2、Q3碰撞</w:t>
            </w:r>
          </w:p>
        </w:tc>
      </w:tr>
    </w:tbl>
    <w:p>
      <w:pPr>
        <w:ind w:firstLine="420"/>
      </w:pPr>
      <w:r>
        <w:rPr>
          <w:rFonts w:ascii="Times New Roman" w:hAnsi="Times New Roman" w:eastAsia="宋体"/>
          <w:sz w:val="21"/>
        </w:rPr>
        <w:t>每个节点求解的输入只依赖上一节点，输出立即成为下一步输入。如果找不到有效根、参数顺序错误或距离残差超限，递推停止并报告具体节点，而不是继续生成不可解释的几何状态。</w:t>
      </w:r>
    </w:p>
    <w:p>
      <w:pPr>
        <w:pStyle w:val="Heading1"/>
      </w:pPr>
      <w:r>
        <w:t>4. 公共几何模型的建立</w:t>
      </w:r>
    </w:p>
    <w:p>
      <w:pPr>
        <w:pStyle w:val="Heading2"/>
      </w:pPr>
      <w:r>
        <w:t>4.1 对象、编号与统一符号</w:t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板凳龙由 223 块板凳组成，共有 224 个把手中心。按龙头到龙尾编号：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07418" cy="3176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-0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07418" cy="317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第 i 块板凳由 Pᵢ₋₁ 和 Pᵢ 确定，记为 Bᵢ，其中 i=1,…,223。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45"/>
        <w:gridCol w:w="3145"/>
        <w:gridCol w:w="3145"/>
      </w:tblGrid>
      <w:tr>
        <w:tc>
          <w:tcPr>
            <w:tcW w:type="dxa" w:w="3145"/>
            <w:vAlign w:val="center"/>
          </w:tcPr>
          <w:p>
            <w:pPr>
              <w:jc w:val="center"/>
              <w:shd w:fill="DCE6F1"/>
            </w:pPr>
            <w:r>
              <w:rPr>
                <w:rFonts w:ascii="Times New Roman" w:hAnsi="Times New Roman" w:eastAsia="宋体"/>
                <w:b/>
                <w:sz w:val="19"/>
              </w:rPr>
              <w:t>符号</w:t>
            </w:r>
          </w:p>
        </w:tc>
        <w:tc>
          <w:tcPr>
            <w:tcW w:type="dxa" w:w="3145"/>
            <w:vAlign w:val="center"/>
          </w:tcPr>
          <w:p>
            <w:pPr>
              <w:jc w:val="center"/>
              <w:shd w:fill="DCE6F1"/>
            </w:pPr>
            <w:r>
              <w:rPr>
                <w:rFonts w:ascii="Times New Roman" w:hAnsi="Times New Roman" w:eastAsia="宋体"/>
                <w:b/>
                <w:sz w:val="19"/>
              </w:rPr>
              <w:t>含义</w:t>
            </w:r>
          </w:p>
        </w:tc>
        <w:tc>
          <w:tcPr>
            <w:tcW w:type="dxa" w:w="3145"/>
            <w:vAlign w:val="center"/>
          </w:tcPr>
          <w:p>
            <w:pPr>
              <w:jc w:val="center"/>
              <w:shd w:fill="DCE6F1"/>
            </w:pPr>
            <w:r>
              <w:rPr>
                <w:rFonts w:ascii="Times New Roman" w:hAnsi="Times New Roman" w:eastAsia="宋体"/>
                <w:b/>
                <w:sz w:val="19"/>
              </w:rPr>
              <w:t>单位</w:t>
            </w:r>
          </w:p>
        </w:tc>
      </w:tr>
      <w:tr>
        <w:tc>
          <w:tcPr>
            <w:tcW w:type="dxa" w:w="314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Pᵢ=(xᵢ,yᵢ)</w:t>
            </w:r>
          </w:p>
        </w:tc>
        <w:tc>
          <w:tcPr>
            <w:tcW w:type="dxa" w:w="314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第 i 个把手中心</w:t>
            </w:r>
          </w:p>
        </w:tc>
        <w:tc>
          <w:tcPr>
            <w:tcW w:type="dxa" w:w="314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m</w:t>
            </w:r>
          </w:p>
        </w:tc>
      </w:tr>
      <w:tr>
        <w:tc>
          <w:tcPr>
            <w:tcW w:type="dxa" w:w="314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Lᵢ</w:t>
            </w:r>
          </w:p>
        </w:tc>
        <w:tc>
          <w:tcPr>
            <w:tcW w:type="dxa" w:w="314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Pᵢ₋₁ 与 Pᵢ 的把手中心距</w:t>
            </w:r>
          </w:p>
        </w:tc>
        <w:tc>
          <w:tcPr>
            <w:tcW w:type="dxa" w:w="314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m</w:t>
            </w:r>
          </w:p>
        </w:tc>
      </w:tr>
      <w:tr>
        <w:tc>
          <w:tcPr>
            <w:tcW w:type="dxa" w:w="314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Γ(q)</w:t>
            </w:r>
          </w:p>
        </w:tc>
        <w:tc>
          <w:tcPr>
            <w:tcW w:type="dxa" w:w="314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当前轨迹的参数方程</w:t>
            </w:r>
          </w:p>
        </w:tc>
        <w:tc>
          <w:tcPr>
            <w:tcW w:type="dxa" w:w="314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m</w:t>
            </w:r>
          </w:p>
        </w:tc>
      </w:tr>
      <w:tr>
        <w:tc>
          <w:tcPr>
            <w:tcW w:type="dxa" w:w="314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qᵢ</w:t>
            </w:r>
          </w:p>
        </w:tc>
        <w:tc>
          <w:tcPr>
            <w:tcW w:type="dxa" w:w="314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节点 Pᵢ 的轨迹参数</w:t>
            </w:r>
          </w:p>
        </w:tc>
        <w:tc>
          <w:tcPr>
            <w:tcW w:type="dxa" w:w="314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与轨迹参数一致</w:t>
            </w:r>
          </w:p>
        </w:tc>
      </w:tr>
      <w:tr>
        <w:tc>
          <w:tcPr>
            <w:tcW w:type="dxa" w:w="314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εᵢ</w:t>
            </w:r>
          </w:p>
        </w:tc>
        <w:tc>
          <w:tcPr>
            <w:tcW w:type="dxa" w:w="314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第 i 块板凳轴向单位向量</w:t>
            </w:r>
          </w:p>
        </w:tc>
        <w:tc>
          <w:tcPr>
            <w:tcW w:type="dxa" w:w="314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无量纲</w:t>
            </w:r>
          </w:p>
        </w:tc>
      </w:tr>
      <w:tr>
        <w:tc>
          <w:tcPr>
            <w:tcW w:type="dxa" w:w="314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nᵢ</w:t>
            </w:r>
          </w:p>
        </w:tc>
        <w:tc>
          <w:tcPr>
            <w:tcW w:type="dxa" w:w="314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第 i 块板凳法向单位向量</w:t>
            </w:r>
          </w:p>
        </w:tc>
        <w:tc>
          <w:tcPr>
            <w:tcW w:type="dxa" w:w="314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无量纲</w:t>
            </w:r>
          </w:p>
        </w:tc>
      </w:tr>
      <w:tr>
        <w:tc>
          <w:tcPr>
            <w:tcW w:type="dxa" w:w="314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Cᵢ</w:t>
            </w:r>
          </w:p>
        </w:tc>
        <w:tc>
          <w:tcPr>
            <w:tcW w:type="dxa" w:w="314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第 i 块板凳中心</w:t>
            </w:r>
          </w:p>
        </w:tc>
        <w:tc>
          <w:tcPr>
            <w:tcW w:type="dxa" w:w="314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m</w:t>
            </w:r>
          </w:p>
        </w:tc>
      </w:tr>
      <w:tr>
        <w:tc>
          <w:tcPr>
            <w:tcW w:type="dxa" w:w="314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Rᵢ</w:t>
            </w:r>
          </w:p>
        </w:tc>
        <w:tc>
          <w:tcPr>
            <w:tcW w:type="dxa" w:w="314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第 i 块板凳的有向矩形</w:t>
            </w:r>
          </w:p>
        </w:tc>
        <w:tc>
          <w:tcPr>
            <w:tcW w:type="dxa" w:w="314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m²</w:t>
            </w:r>
          </w:p>
        </w:tc>
      </w:tr>
    </w:tbl>
    <w:p>
      <w:pPr>
        <w:ind w:firstLine="420"/>
      </w:pPr>
      <w:r>
        <w:rPr>
          <w:rFonts w:ascii="Times New Roman" w:hAnsi="Times New Roman" w:eastAsia="宋体"/>
          <w:sz w:val="21"/>
        </w:rPr>
        <w:t>本公共模型不定义速度符号；切向速度和速度比例只在问题1出现。</w:t>
      </w:r>
    </w:p>
    <w:p>
      <w:pPr>
        <w:pStyle w:val="Heading2"/>
      </w:pPr>
      <w:r>
        <w:t>4.2 把手间距离与刚杆骨架</w:t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题面给出龙头板长 3.41 m、其余板长 2.20 m，两端把手孔中心距板头 0.275 m，因此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74720" cy="3176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-0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317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98707" cy="3176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-0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98707" cy="317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刚杆骨架满足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790298" cy="32244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-0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0298" cy="322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59730" cy="32244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-0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59730" cy="322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这里的 Lᵢ 是把手中心距，不是板凳总长度；板凳总长度只用于实体矩形恢复。</w:t>
      </w:r>
    </w:p>
    <w:p>
      <w:pPr>
        <w:pStyle w:val="Heading2"/>
      </w:pPr>
      <w:r>
        <w:t>4.3 统一轨迹表示</w:t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所有把手中心都位于当前轨迹上：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554480" cy="45801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-0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4580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问题1采用螺距 p=0.55 m 的阿基米德螺线。令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554480" cy="81610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-00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816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则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76888" cy="31763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-00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76888" cy="317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初始时龙头位于第16圈正 x 轴处：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90185" cy="31763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-00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90185" cy="317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公共模型只要求轨迹接口返回 Γ(q)，并保留连续、方向一致的轨迹分支。后续替换为圆弧或盘出螺线时，只需替换轨迹接口和分支规则。</w:t>
      </w:r>
    </w:p>
    <w:p>
      <w:pPr>
        <w:pStyle w:val="Heading2"/>
      </w:pPr>
      <w:r>
        <w:t>4.4 定长圆与真实轨迹求交</w:t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已知 Pᵢ₋₁ 后，以该点为圆心、Lᵢ 为半径作圆。下一把手必须同时位于该圆和轨迹上，因此求解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53338" cy="36575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-0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53338" cy="3657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求得有效根后令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554480" cy="45801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-0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4580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整条龙按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11128" cy="31763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-0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11128" cy="317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逐点恢复。多交点情况下采用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8526" cy="31763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-0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48526" cy="317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即在满足轨迹分支和节点顺序的候选根中选择最近有效交点。每一步还必须满足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32244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-0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22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4.5 由节点恢复实体板凳</w:t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第 i 块板凳的轴向、法向和中心分别为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554480" cy="53469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-0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5346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588168" cy="34169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-0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88168" cy="341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554480" cy="51816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-0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518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龙头板凳半长为 1.705 m，其余板凳半长为 1.10 m，半宽为 0.15 m。令 aᵢ 为板凳半长，则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22808" cy="32244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-0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22808" cy="322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因此，相邻两个把手不仅确定板凳轴线，还唯一确定板凳中心、方向和四个角点。</w:t>
      </w:r>
    </w:p>
    <w:p>
      <w:pPr>
        <w:pStyle w:val="Heading1"/>
      </w:pPr>
      <w:r>
        <w:t>5. 公共模型的结果及实际作用</w:t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公共模型的最终结果不是某一个单独时刻的坐标表，而是一套可重复调用的几何还原能力。给定任意合法的龙头轨迹参数 q₀，模型可以依次生成 224 个节点和 223 个实体矩形，并明确指出求交失败、跳圈或杆长超限发生在哪一个节点。</w:t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在问题1初始状态下，龙头位置回代为 P₀=(8.8,0) m；节点链满足第一节把手中心距 2.86 m、其余中心距 1.65 m。轴线恢复后得到的矩形保留真实板长和 0.30 m 板宽，因此后续碰撞模型判断的是实体板凳，而不是无厚度中心线。</w:t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这套设计对各问的具体贡献为：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问题1：把时间转换得到的龙头位置扩展为全队位置，并提供刚杆方向和轨迹切向量；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问题2：直接使用实体矩形进行碰撞初筛与精判；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问题3：改变螺距后重新调用同一节点递推和矩形恢复接口；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问题4：把轨迹接口替换为螺线与圆弧组成的分段轨迹；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问题5：在问题4的固定几何状态上复用速度关联模型。</w:t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因此，公共模型将“轨迹设计”和“板凳龙几何还原”分开：后续问题可以改变轨迹或参数，而无需重新发明节点、板凳和碰撞对象。</w:t>
      </w:r>
    </w:p>
    <w:p>
      <w:pPr>
        <w:pStyle w:val="Heading1"/>
      </w:pPr>
      <w:r>
        <w:t>6. 模型检验、局限和下游接口</w:t>
      </w:r>
    </w:p>
    <w:p>
      <w:pPr>
        <w:pStyle w:val="Heading2"/>
      </w:pPr>
      <w:r>
        <w:t>6.1 几何检验</w:t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当前验证覆盖初始坐标、相邻把手中心距、节点参数顺序、最近有效根、矩形方向和四角点构造。验证入口和结果分别为：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公共几何测试：../../tests/testₛpiralchain.py；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验证记录：tables/基础几何验证结果.md；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公共几何代码：../../01-shared/code/spiralchain.py。</w:t>
      </w:r>
    </w:p>
    <w:p>
      <w:pPr>
        <w:pStyle w:val="Heading2"/>
      </w:pPr>
      <w:r>
        <w:t>6.2 模型假设与局限</w:t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1. 板凳在二维俯视平面内视为不可伸长、不可弯曲的刚体矩形；</w:t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2. 相邻板凳通过公共把手形成理想铰链，忽略孔径和连接间隙；</w:t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3. 节点始终位于给定轨迹，并按连续、方向一致的分支递推；</w:t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4. 本模型只还原几何状态，不能单独给出速度、碰撞时刻或最优参数；</w:t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5. 若轨迹不连续、曲线分支定义不清或定长圆不存在有效交点，公共模型必须停止，不能强行外推。</w:t>
      </w:r>
    </w:p>
    <w:p>
      <w:pPr>
        <w:pStyle w:val="Heading2"/>
      </w:pPr>
      <w:r>
        <w:t>6.3 交给下一问的数据接口</w:t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问题1接收 qᵢ(t),Pᵢ(t) 以及轨迹导数 Γ'(qᵢ)，新增弧长—时间关系和刚杆速度约束；公共模型仍保持不含时间变量。这样可以清楚区分“几何位置如何确定”和“位置如何随时间变化”两个层次。</w:t>
      </w:r>
    </w:p>
    <w:p>
      <w:pPr>
        <w:jc w:val="center"/>
      </w:pPr>
      <w:r>
        <w:t>附图：节点递推与实体恢复</w:t>
      </w:r>
      <w:r>
        <w:rPr>
          <w:rFonts w:ascii="Times New Roman" w:hAnsi="Times New Roman" w:eastAsia="黑体"/>
          <w:b/>
          <w:sz w:val="30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66360" cy="745525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_节点递推与矩形恢复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7455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图1  定长圆—真实螺线求交递推与实体板凳恢复</w:t>
      </w:r>
      <w:r>
        <w:rPr>
          <w:rFonts w:ascii="Times New Roman" w:hAnsi="Times New Roman" w:eastAsia="宋体"/>
          <w:sz w:val="19"/>
        </w:rPr>
      </w:r>
    </w:p>
    <w:sectPr w:rsidR="00FC693F" w:rsidRPr="0006063C" w:rsidSect="00034616">
      <w:footerReference w:type="default" r:id="rId9"/>
      <w:pgSz w:w="12240" w:h="15840"/>
      <w:pgMar w:top="1332" w:right="1332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sz w:val="18"/>
      </w:rPr>
      <w:t>板凳龙公共几何模型｜论文手审阅版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b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板凳龙公共几何模型</dc:title>
  <dc:subject>公共几何还原与实体板凳恢复</dc:subject>
  <dc:creator>数学建模项目组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