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40"/>
        </w:rPr>
        <w:t>问题1：螺线位置与速度模型及结果</w:t>
      </w:r>
    </w:p>
    <w:p>
      <w:pPr>
        <w:jc w:val="center"/>
      </w:pPr>
      <w:r>
        <w:t>问题1阶段交付｜2024年高教社杯A题“板凳龙”</w:t>
      </w:r>
      <w:r>
        <w:rPr>
          <w:rFonts w:ascii="Times New Roman" w:hAnsi="Times New Roman" w:eastAsia="宋体"/>
          <w:sz w:val="20"/>
        </w:rPr>
      </w:r>
    </w:p>
    <w:p>
      <w:pPr>
        <w:pStyle w:val="Heading1"/>
      </w:pPr>
      <w:r>
        <w:t>1. 本问到底要回答什么</w:t>
      </w:r>
    </w:p>
    <w:p>
      <w:pPr>
        <w:ind w:firstLine="420"/>
      </w:pPr>
      <w:r>
        <w:rPr>
          <w:rFonts w:ascii="Times New Roman" w:hAnsi="Times New Roman" w:eastAsia="宋体"/>
          <w:sz w:val="21"/>
        </w:rPr>
        <w:t>问题1要求在龙头以 1,m/s 沿螺距为 0.55 m 的盘入螺线运动时，计算从 0 s 到 300 s 的板凳龙位置和速度，并给出题面指定时刻、指定节点的结果。</w:t>
      </w:r>
    </w:p>
    <w:p>
      <w:pPr>
        <w:ind w:firstLine="420"/>
      </w:pPr>
      <w:r>
        <w:rPr>
          <w:rFonts w:ascii="Times New Roman" w:hAnsi="Times New Roman" w:eastAsia="宋体"/>
          <w:sz w:val="21"/>
        </w:rPr>
        <w:t>本问的计算对象不是一块独立板凳，而是由 224 个把手中心和 223 个定长板凳组成的链式系统。龙头运动后，其余节点的位置必须同时满足轨迹约束和定长约束；其余节点的速度也不能自行指定，而要由刚杆约束传递。</w:t>
      </w:r>
    </w:p>
    <w:tbl>
      <w:tblPr>
        <w:tblStyle w:val="TableGrid"/>
        <w:tblW w:type="auto" w:w="0"/>
        <w:tblLook w:firstColumn="1" w:firstRow="1" w:lastColumn="0" w:lastRow="0" w:noHBand="0" w:noVBand="1" w:val="04A0"/>
      </w:tblPr>
      <w:tblGrid>
        <w:gridCol w:w="4717"/>
        <w:gridCol w:w="4717"/>
      </w:tblGrid>
      <w:tr>
        <w:tc>
          <w:tcPr>
            <w:tcW w:type="dxa" w:w="4717"/>
            <w:vAlign w:val="center"/>
          </w:tcPr>
          <w:p>
            <w:pPr>
              <w:jc w:val="center"/>
              <w:shd w:fill="DCE6F1"/>
            </w:pPr>
            <w:r>
              <w:rPr>
                <w:rFonts w:ascii="Times New Roman" w:hAnsi="Times New Roman" w:eastAsia="宋体"/>
                <w:b/>
                <w:sz w:val="19"/>
              </w:rPr>
              <w:t>类型</w:t>
            </w:r>
          </w:p>
        </w:tc>
        <w:tc>
          <w:tcPr>
            <w:tcW w:type="dxa" w:w="4717"/>
            <w:vAlign w:val="center"/>
          </w:tcPr>
          <w:p>
            <w:pPr>
              <w:jc w:val="center"/>
              <w:shd w:fill="DCE6F1"/>
            </w:pPr>
            <w:r>
              <w:rPr>
                <w:rFonts w:ascii="Times New Roman" w:hAnsi="Times New Roman" w:eastAsia="宋体"/>
                <w:b/>
                <w:sz w:val="19"/>
              </w:rPr>
              <w:t>本问内容</w:t>
            </w:r>
          </w:p>
        </w:tc>
      </w:tr>
      <w:tr>
        <w:tc>
          <w:tcPr>
            <w:tcW w:type="dxa" w:w="4717"/>
            <w:vAlign w:val="center"/>
          </w:tcPr>
          <w:p>
            <w:pPr>
              <w:jc w:val="left"/>
            </w:pPr>
            <w:r>
              <w:rPr>
                <w:rFonts w:ascii="Times New Roman" w:hAnsi="Times New Roman" w:eastAsia="宋体"/>
                <w:b w:val="0"/>
                <w:sz w:val="19"/>
              </w:rPr>
              <w:t>已知输入</w:t>
            </w:r>
          </w:p>
        </w:tc>
        <w:tc>
          <w:tcPr>
            <w:tcW w:type="dxa" w:w="4717"/>
            <w:vAlign w:val="center"/>
          </w:tcPr>
          <w:p>
            <w:pPr>
              <w:jc w:val="left"/>
            </w:pPr>
            <w:r>
              <w:rPr>
                <w:rFonts w:ascii="Times New Roman" w:hAnsi="Times New Roman" w:eastAsia="宋体"/>
                <w:b w:val="0"/>
                <w:sz w:val="19"/>
              </w:rPr>
              <w:t>螺距 0.55 m、龙头初始参数 32π、龙头速度 1,m/s、公共几何参数</w:t>
            </w:r>
          </w:p>
        </w:tc>
      </w:tr>
      <w:tr>
        <w:tc>
          <w:tcPr>
            <w:tcW w:type="dxa" w:w="4717"/>
            <w:vAlign w:val="center"/>
          </w:tcPr>
          <w:p>
            <w:pPr>
              <w:jc w:val="left"/>
            </w:pPr>
            <w:r>
              <w:rPr>
                <w:rFonts w:ascii="Times New Roman" w:hAnsi="Times New Roman" w:eastAsia="宋体"/>
                <w:b w:val="0"/>
                <w:sz w:val="19"/>
              </w:rPr>
              <w:t>直接输出</w:t>
            </w:r>
          </w:p>
        </w:tc>
        <w:tc>
          <w:tcPr>
            <w:tcW w:type="dxa" w:w="4717"/>
            <w:vAlign w:val="center"/>
          </w:tcPr>
          <w:p>
            <w:pPr>
              <w:jc w:val="left"/>
            </w:pPr>
            <w:r>
              <w:rPr>
                <w:rFonts w:ascii="Times New Roman" w:hAnsi="Times New Roman" w:eastAsia="宋体"/>
                <w:b w:val="0"/>
                <w:sz w:val="19"/>
              </w:rPr>
              <w:t>t=0,1,…,300 s 时全部 224 个把手中心的位置和速度</w:t>
            </w:r>
          </w:p>
        </w:tc>
      </w:tr>
      <w:tr>
        <w:tc>
          <w:tcPr>
            <w:tcW w:type="dxa" w:w="4717"/>
            <w:vAlign w:val="center"/>
          </w:tcPr>
          <w:p>
            <w:pPr>
              <w:jc w:val="left"/>
            </w:pPr>
            <w:r>
              <w:rPr>
                <w:rFonts w:ascii="Times New Roman" w:hAnsi="Times New Roman" w:eastAsia="宋体"/>
                <w:b w:val="0"/>
                <w:sz w:val="19"/>
              </w:rPr>
              <w:t>论文输出</w:t>
            </w:r>
          </w:p>
        </w:tc>
        <w:tc>
          <w:tcPr>
            <w:tcW w:type="dxa" w:w="4717"/>
            <w:vAlign w:val="center"/>
          </w:tcPr>
          <w:p>
            <w:pPr>
              <w:jc w:val="left"/>
            </w:pPr>
            <w:r>
              <w:rPr>
                <w:rFonts w:ascii="Times New Roman" w:hAnsi="Times New Roman" w:eastAsia="宋体"/>
                <w:b w:val="0"/>
                <w:sz w:val="19"/>
              </w:rPr>
              <w:t>0/60/120/180/240/300 s 的关键节点位置表和速度表</w:t>
            </w:r>
          </w:p>
        </w:tc>
      </w:tr>
      <w:tr>
        <w:tc>
          <w:tcPr>
            <w:tcW w:type="dxa" w:w="4717"/>
            <w:vAlign w:val="center"/>
          </w:tcPr>
          <w:p>
            <w:pPr>
              <w:jc w:val="left"/>
            </w:pPr>
            <w:r>
              <w:rPr>
                <w:rFonts w:ascii="Times New Roman" w:hAnsi="Times New Roman" w:eastAsia="宋体"/>
                <w:b w:val="0"/>
                <w:sz w:val="19"/>
              </w:rPr>
              <w:t>完成标准</w:t>
            </w:r>
          </w:p>
        </w:tc>
        <w:tc>
          <w:tcPr>
            <w:tcW w:type="dxa" w:w="4717"/>
            <w:vAlign w:val="center"/>
          </w:tcPr>
          <w:p>
            <w:pPr>
              <w:jc w:val="left"/>
            </w:pPr>
            <w:r>
              <w:rPr>
                <w:rFonts w:ascii="Times New Roman" w:hAnsi="Times New Roman" w:eastAsia="宋体"/>
                <w:b w:val="0"/>
                <w:sz w:val="19"/>
              </w:rPr>
              <w:t>位置满足轨迹和定长约束，速度满足刚杆微分约束，结果表与独立中心差分一致</w:t>
            </w:r>
          </w:p>
        </w:tc>
      </w:tr>
    </w:tbl>
    <w:p>
      <w:pPr>
        <w:ind w:firstLine="420"/>
      </w:pPr>
      <w:r>
        <w:rPr>
          <w:rFonts w:ascii="Times New Roman" w:hAnsi="Times New Roman" w:eastAsia="宋体"/>
          <w:sz w:val="21"/>
        </w:rPr>
        <w:t>最终完整数据保存在 tables/result1.xlsx，论文抽样结果分别保存在 tables/论文抽样位置表.md 和 tables/论文抽样速度表.md。</w:t>
      </w:r>
    </w:p>
    <w:p>
      <w:pPr>
        <w:pStyle w:val="Heading1"/>
      </w:pPr>
      <w:r>
        <w:t>2. 对公共模型的继承与本问新增</w:t>
      </w:r>
    </w:p>
    <w:p>
      <w:pPr>
        <w:ind w:firstLine="420"/>
      </w:pPr>
      <w:r>
        <w:rPr>
          <w:rFonts w:ascii="Times New Roman" w:hAnsi="Times New Roman" w:eastAsia="宋体"/>
          <w:sz w:val="21"/>
        </w:rPr>
        <w:t>公共模型已经解决“给定龙头位置后，如何还原整条龙”的几何问题。本问不重新定义节点和板凳，只在公共几何上增加时间与速度两层关系。</w:t>
      </w:r>
    </w:p>
    <w:tbl>
      <w:tblPr>
        <w:tblStyle w:val="TableGrid"/>
        <w:tblW w:type="auto" w:w="0"/>
        <w:tblLook w:firstColumn="1" w:firstRow="1" w:lastColumn="0" w:lastRow="0" w:noHBand="0" w:noVBand="1" w:val="04A0"/>
      </w:tblPr>
      <w:tblGrid>
        <w:gridCol w:w="2358"/>
        <w:gridCol w:w="2358"/>
        <w:gridCol w:w="2358"/>
        <w:gridCol w:w="2358"/>
      </w:tblGrid>
      <w:tr>
        <w:tc>
          <w:tcPr>
            <w:tcW w:type="dxa" w:w="2358"/>
            <w:vAlign w:val="center"/>
          </w:tcPr>
          <w:p>
            <w:pPr>
              <w:jc w:val="center"/>
              <w:shd w:fill="DCE6F1"/>
            </w:pPr>
            <w:r>
              <w:rPr>
                <w:rFonts w:ascii="Times New Roman" w:hAnsi="Times New Roman" w:eastAsia="宋体"/>
                <w:b/>
                <w:sz w:val="19"/>
              </w:rPr>
              <w:t>层次</w:t>
            </w:r>
          </w:p>
        </w:tc>
        <w:tc>
          <w:tcPr>
            <w:tcW w:type="dxa" w:w="2358"/>
            <w:vAlign w:val="center"/>
          </w:tcPr>
          <w:p>
            <w:pPr>
              <w:jc w:val="center"/>
              <w:shd w:fill="DCE6F1"/>
            </w:pPr>
            <w:r>
              <w:rPr>
                <w:rFonts w:ascii="Times New Roman" w:hAnsi="Times New Roman" w:eastAsia="宋体"/>
                <w:b/>
                <w:sz w:val="19"/>
              </w:rPr>
              <w:t>继承或新增内容</w:t>
            </w:r>
          </w:p>
        </w:tc>
        <w:tc>
          <w:tcPr>
            <w:tcW w:type="dxa" w:w="2358"/>
            <w:vAlign w:val="center"/>
          </w:tcPr>
          <w:p>
            <w:pPr>
              <w:jc w:val="center"/>
              <w:shd w:fill="DCE6F1"/>
            </w:pPr>
            <w:r>
              <w:rPr>
                <w:rFonts w:ascii="Times New Roman" w:hAnsi="Times New Roman" w:eastAsia="宋体"/>
                <w:b/>
                <w:sz w:val="19"/>
              </w:rPr>
              <w:t>输入</w:t>
            </w:r>
          </w:p>
        </w:tc>
        <w:tc>
          <w:tcPr>
            <w:tcW w:type="dxa" w:w="2358"/>
            <w:vAlign w:val="center"/>
          </w:tcPr>
          <w:p>
            <w:pPr>
              <w:jc w:val="center"/>
              <w:shd w:fill="DCE6F1"/>
            </w:pPr>
            <w:r>
              <w:rPr>
                <w:rFonts w:ascii="Times New Roman" w:hAnsi="Times New Roman" w:eastAsia="宋体"/>
                <w:b/>
                <w:sz w:val="19"/>
              </w:rPr>
              <w:t>输出</w:t>
            </w:r>
          </w:p>
        </w:tc>
      </w:tr>
      <w:tr>
        <w:tc>
          <w:tcPr>
            <w:tcW w:type="dxa" w:w="2358"/>
            <w:vAlign w:val="center"/>
          </w:tcPr>
          <w:p>
            <w:pPr>
              <w:jc w:val="left"/>
            </w:pPr>
            <w:r>
              <w:rPr>
                <w:rFonts w:ascii="Times New Roman" w:hAnsi="Times New Roman" w:eastAsia="宋体"/>
                <w:b w:val="0"/>
                <w:sz w:val="19"/>
              </w:rPr>
              <w:t>公共几何</w:t>
            </w:r>
          </w:p>
        </w:tc>
        <w:tc>
          <w:tcPr>
            <w:tcW w:type="dxa" w:w="2358"/>
            <w:vAlign w:val="center"/>
          </w:tcPr>
          <w:p>
            <w:pPr>
              <w:jc w:val="left"/>
            </w:pPr>
            <w:r>
              <w:rPr>
                <w:rFonts w:ascii="Times New Roman" w:hAnsi="Times New Roman" w:eastAsia="宋体"/>
                <w:b w:val="0"/>
                <w:sz w:val="19"/>
              </w:rPr>
              <w:t>轨迹 Γ(q)、定长圆求交、最近有效根、矩形恢复</w:t>
            </w:r>
          </w:p>
        </w:tc>
        <w:tc>
          <w:tcPr>
            <w:tcW w:type="dxa" w:w="2358"/>
            <w:vAlign w:val="center"/>
          </w:tcPr>
          <w:p>
            <w:pPr>
              <w:jc w:val="left"/>
            </w:pPr>
            <w:r>
              <w:rPr>
                <w:rFonts w:ascii="Times New Roman" w:hAnsi="Times New Roman" w:eastAsia="宋体"/>
                <w:b w:val="0"/>
                <w:sz w:val="19"/>
              </w:rPr>
              <w:t>龙头参数 q₀</w:t>
            </w:r>
          </w:p>
        </w:tc>
        <w:tc>
          <w:tcPr>
            <w:tcW w:type="dxa" w:w="2358"/>
            <w:vAlign w:val="center"/>
          </w:tcPr>
          <w:p>
            <w:pPr>
              <w:jc w:val="left"/>
            </w:pPr>
            <w:r>
              <w:rPr>
                <w:rFonts w:ascii="Times New Roman" w:hAnsi="Times New Roman" w:eastAsia="宋体"/>
                <w:b w:val="0"/>
                <w:sz w:val="19"/>
              </w:rPr>
              <w:t>全部 qᵢ,Pᵢ,Rᵢ</w:t>
            </w:r>
          </w:p>
        </w:tc>
      </w:tr>
      <w:tr>
        <w:tc>
          <w:tcPr>
            <w:tcW w:type="dxa" w:w="2358"/>
            <w:vAlign w:val="center"/>
          </w:tcPr>
          <w:p>
            <w:pPr>
              <w:jc w:val="left"/>
            </w:pPr>
            <w:r>
              <w:rPr>
                <w:rFonts w:ascii="Times New Roman" w:hAnsi="Times New Roman" w:eastAsia="宋体"/>
                <w:b w:val="0"/>
                <w:sz w:val="19"/>
              </w:rPr>
              <w:t>本问新增一</w:t>
            </w:r>
          </w:p>
        </w:tc>
        <w:tc>
          <w:tcPr>
            <w:tcW w:type="dxa" w:w="2358"/>
            <w:vAlign w:val="center"/>
          </w:tcPr>
          <w:p>
            <w:pPr>
              <w:jc w:val="left"/>
            </w:pPr>
            <w:r>
              <w:rPr>
                <w:rFonts w:ascii="Times New Roman" w:hAnsi="Times New Roman" w:eastAsia="宋体"/>
                <w:b w:val="0"/>
                <w:sz w:val="19"/>
              </w:rPr>
              <w:t>龙头弧长—时间关系</w:t>
            </w:r>
          </w:p>
        </w:tc>
        <w:tc>
          <w:tcPr>
            <w:tcW w:type="dxa" w:w="2358"/>
            <w:vAlign w:val="center"/>
          </w:tcPr>
          <w:p>
            <w:pPr>
              <w:jc w:val="left"/>
            </w:pPr>
            <w:r>
              <w:rPr>
                <w:rFonts w:ascii="Times New Roman" w:hAnsi="Times New Roman" w:eastAsia="宋体"/>
                <w:b w:val="0"/>
                <w:sz w:val="19"/>
              </w:rPr>
              <w:t>时间 t、龙头速度 U(t)</w:t>
            </w:r>
          </w:p>
        </w:tc>
        <w:tc>
          <w:tcPr>
            <w:tcW w:type="dxa" w:w="2358"/>
            <w:vAlign w:val="center"/>
          </w:tcPr>
          <w:p>
            <w:pPr>
              <w:jc w:val="left"/>
            </w:pPr>
            <w:r>
              <w:rPr>
                <w:rFonts w:ascii="Times New Roman" w:hAnsi="Times New Roman" w:eastAsia="宋体"/>
                <w:b w:val="0"/>
                <w:sz w:val="19"/>
              </w:rPr>
              <w:t>龙头参数 q₀(t)</w:t>
            </w:r>
          </w:p>
        </w:tc>
      </w:tr>
      <w:tr>
        <w:tc>
          <w:tcPr>
            <w:tcW w:type="dxa" w:w="2358"/>
            <w:vAlign w:val="center"/>
          </w:tcPr>
          <w:p>
            <w:pPr>
              <w:jc w:val="left"/>
            </w:pPr>
            <w:r>
              <w:rPr>
                <w:rFonts w:ascii="Times New Roman" w:hAnsi="Times New Roman" w:eastAsia="宋体"/>
                <w:b w:val="0"/>
                <w:sz w:val="19"/>
              </w:rPr>
              <w:t>本问新增二</w:t>
            </w:r>
          </w:p>
        </w:tc>
        <w:tc>
          <w:tcPr>
            <w:tcW w:type="dxa" w:w="2358"/>
            <w:vAlign w:val="center"/>
          </w:tcPr>
          <w:p>
            <w:pPr>
              <w:jc w:val="left"/>
            </w:pPr>
            <w:r>
              <w:rPr>
                <w:rFonts w:ascii="Times New Roman" w:hAnsi="Times New Roman" w:eastAsia="宋体"/>
                <w:b w:val="0"/>
                <w:sz w:val="19"/>
              </w:rPr>
              <w:t>刚杆约束速度递推</w:t>
            </w:r>
          </w:p>
        </w:tc>
        <w:tc>
          <w:tcPr>
            <w:tcW w:type="dxa" w:w="2358"/>
            <w:vAlign w:val="center"/>
          </w:tcPr>
          <w:p>
            <w:pPr>
              <w:jc w:val="left"/>
            </w:pPr>
            <w:r>
              <w:rPr>
                <w:rFonts w:ascii="Times New Roman" w:hAnsi="Times New Roman" w:eastAsia="宋体"/>
                <w:b w:val="0"/>
                <w:sz w:val="19"/>
              </w:rPr>
              <w:t>Pᵢ,τᵢ,wᵢ₋₁</w:t>
            </w:r>
          </w:p>
        </w:tc>
        <w:tc>
          <w:tcPr>
            <w:tcW w:type="dxa" w:w="2358"/>
            <w:vAlign w:val="center"/>
          </w:tcPr>
          <w:p>
            <w:pPr>
              <w:jc w:val="left"/>
            </w:pPr>
            <w:r>
              <w:rPr>
                <w:rFonts w:ascii="Times New Roman" w:hAnsi="Times New Roman" w:eastAsia="宋体"/>
                <w:b w:val="0"/>
                <w:sz w:val="19"/>
              </w:rPr>
              <w:t>wᵢ, vᵢ</w:t>
            </w:r>
          </w:p>
        </w:tc>
      </w:tr>
      <w:tr>
        <w:tc>
          <w:tcPr>
            <w:tcW w:type="dxa" w:w="2358"/>
            <w:vAlign w:val="center"/>
          </w:tcPr>
          <w:p>
            <w:pPr>
              <w:jc w:val="left"/>
            </w:pPr>
            <w:r>
              <w:rPr>
                <w:rFonts w:ascii="Times New Roman" w:hAnsi="Times New Roman" w:eastAsia="宋体"/>
                <w:b w:val="0"/>
                <w:sz w:val="19"/>
              </w:rPr>
              <w:t>验证层</w:t>
            </w:r>
          </w:p>
        </w:tc>
        <w:tc>
          <w:tcPr>
            <w:tcW w:type="dxa" w:w="2358"/>
            <w:vAlign w:val="center"/>
          </w:tcPr>
          <w:p>
            <w:pPr>
              <w:jc w:val="left"/>
            </w:pPr>
            <w:r>
              <w:rPr>
                <w:rFonts w:ascii="Times New Roman" w:hAnsi="Times New Roman" w:eastAsia="宋体"/>
                <w:b w:val="0"/>
                <w:sz w:val="19"/>
              </w:rPr>
              <w:t>杆长回代、速度约束和中心差分</w:t>
            </w:r>
          </w:p>
        </w:tc>
        <w:tc>
          <w:tcPr>
            <w:tcW w:type="dxa" w:w="2358"/>
            <w:vAlign w:val="center"/>
          </w:tcPr>
          <w:p>
            <w:pPr>
              <w:jc w:val="left"/>
            </w:pPr>
            <w:r>
              <w:rPr>
                <w:rFonts w:ascii="Times New Roman" w:hAnsi="Times New Roman" w:eastAsia="宋体"/>
                <w:b w:val="0"/>
                <w:sz w:val="19"/>
              </w:rPr>
              <w:t>位置与速度结果</w:t>
            </w:r>
          </w:p>
        </w:tc>
        <w:tc>
          <w:tcPr>
            <w:tcW w:type="dxa" w:w="2358"/>
            <w:vAlign w:val="center"/>
          </w:tcPr>
          <w:p>
            <w:pPr>
              <w:jc w:val="left"/>
            </w:pPr>
            <w:r>
              <w:rPr>
                <w:rFonts w:ascii="Times New Roman" w:hAnsi="Times New Roman" w:eastAsia="宋体"/>
                <w:b w:val="0"/>
                <w:sz w:val="19"/>
              </w:rPr>
              <w:t>残差和可用性判断</w:t>
            </w:r>
          </w:p>
        </w:tc>
      </w:tr>
    </w:tbl>
    <w:p>
      <w:pPr>
        <w:ind w:firstLine="420"/>
      </w:pPr>
      <w:r>
        <w:rPr>
          <w:rFonts w:ascii="Times New Roman" w:hAnsi="Times New Roman" w:eastAsia="宋体"/>
          <w:sz w:val="21"/>
        </w:rPr>
        <w:t>这一区分很重要：公共模型回答“节点在哪里”，问题1回答“节点在什么时刻到达哪里以及运动多快”。</w:t>
      </w:r>
    </w:p>
    <w:p>
      <w:pPr>
        <w:pStyle w:val="Heading1"/>
      </w:pPr>
      <w:r>
        <w:t>3. 为什么这样设计模型</w:t>
      </w:r>
    </w:p>
    <w:p>
      <w:pPr>
        <w:pStyle w:val="Heading2"/>
      </w:pPr>
      <w:r>
        <w:t>3.1 为什么使用弧长—时间关系</w:t>
      </w:r>
    </w:p>
    <w:p>
      <w:pPr>
        <w:ind w:firstLine="420"/>
      </w:pPr>
      <w:r>
        <w:rPr>
          <w:rFonts w:ascii="Times New Roman" w:hAnsi="Times New Roman" w:eastAsia="宋体"/>
          <w:sz w:val="21"/>
        </w:rPr>
        <w:t>题面给定的是龙头沿轨迹的线速度，而不是螺线参数 θ 的变化率。阿基米德螺线不同位置的 ‖Γ'(θ)‖ 不相同，因此恒定线速度不对应恒定角速度。若直接令 θ 匀速变化，会使龙头实际速度随位置改变，违背题意。</w:t>
      </w:r>
    </w:p>
    <w:p>
      <w:pPr>
        <w:ind w:firstLine="420"/>
      </w:pPr>
      <w:r>
        <w:rPr>
          <w:rFonts w:ascii="Times New Roman" w:hAnsi="Times New Roman" w:eastAsia="宋体"/>
          <w:sz w:val="21"/>
        </w:rPr>
        <w:t>所以应先对螺线弧长积分，再通过“已走弧长等于速度对时间的积分”反解龙头参数。这一步把时间严格转换成龙头几何位置。</w:t>
      </w:r>
    </w:p>
    <w:p>
      <w:pPr>
        <w:pStyle w:val="Heading2"/>
      </w:pPr>
      <w:r>
        <w:t>3.2 为什么不能令所有节点速度都等于 1 m/s</w:t>
      </w:r>
    </w:p>
    <w:p>
      <w:pPr>
        <w:ind w:firstLine="420"/>
      </w:pPr>
      <w:r>
        <w:rPr>
          <w:rFonts w:ascii="Times New Roman" w:hAnsi="Times New Roman" w:eastAsia="宋体"/>
          <w:sz w:val="21"/>
        </w:rPr>
        <w:t>所有把手都位于同一轨迹，但不同节点处的轨迹切向方向不同。相邻节点又由不可伸长的刚杆连接。即使龙头速度为 1 m/s，其余节点的速度大小仍要保证相邻节点在杆轴方向上的相对速度为零，所以不能把所有速度直接设成 1 m/s。</w:t>
      </w:r>
    </w:p>
    <w:p>
      <w:pPr>
        <w:pStyle w:val="Heading2"/>
      </w:pPr>
      <w:r>
        <w:t>3.3 为什么对刚杆约束求导</w:t>
      </w:r>
    </w:p>
    <w:p>
      <w:pPr>
        <w:ind w:firstLine="420"/>
      </w:pPr>
      <w:r>
        <w:rPr>
          <w:rFonts w:ascii="Times New Roman" w:hAnsi="Times New Roman" w:eastAsia="宋体"/>
          <w:sz w:val="21"/>
        </w:rPr>
        <w:t>相邻节点距离恒定是系统最基本的物理约束。对该约束求时间导数，可以直接建立前后节点速度的投影关系，由龙头速度逐节推出全队速度。得到的比例由当前几何姿态决定，不需要人为设置“逐节衰减率”。</w:t>
      </w:r>
    </w:p>
    <w:p>
      <w:pPr>
        <w:pStyle w:val="Heading2"/>
      </w:pPr>
      <w:r>
        <w:t>3.4 为什么解析递推优于直接位置差分</w:t>
      </w:r>
    </w:p>
    <w:p>
      <w:pPr>
        <w:ind w:firstLine="420"/>
      </w:pPr>
      <w:r>
        <w:rPr>
          <w:rFonts w:ascii="Times New Roman" w:hAnsi="Times New Roman" w:eastAsia="宋体"/>
          <w:sz w:val="21"/>
        </w:rPr>
        <w:t>直接用相邻时刻位置做中心差分需要额外选取时间步长；步长过大会产生截断误差，过小又会放大数值求根误差。刚杆约束微分给出解析递推关系，计算量只随节点数量线性增长，并直接满足杆长约束。</w:t>
      </w:r>
    </w:p>
    <w:p>
      <w:pPr>
        <w:ind w:firstLine="420"/>
      </w:pPr>
      <w:r>
        <w:rPr>
          <w:rFonts w:ascii="Times New Roman" w:hAnsi="Times New Roman" w:eastAsia="宋体"/>
          <w:sz w:val="21"/>
        </w:rPr>
        <w:t>因此，本问把解析递推作为速度主算法，把中心差分作为独立验证路径。两者一致时，既能说明公式推导正确，也能说明位置与速度代码相互协调。</w:t>
      </w:r>
    </w:p>
    <w:p>
      <w:pPr>
        <w:pStyle w:val="Heading1"/>
      </w:pPr>
      <w:r>
        <w:t>4. 模型建立与完整求解过程</w:t>
      </w:r>
    </w:p>
    <w:p>
      <w:pPr>
        <w:pStyle w:val="Heading2"/>
      </w:pPr>
      <w:r>
        <w:t>4.1 文字流程图</w:t>
      </w:r>
    </w:p>
    <w:p>
      <w:pPr>
        <w:ind w:left="283" w:right="283"/>
        <w:shd w:fill="F3F6F9"/>
      </w:pPr>
      <w:r>
        <w:rPr>
          <w:rFonts w:ascii="Consolas" w:hAnsi="Consolas" w:eastAsia="等线"/>
          <w:sz w:val="19"/>
        </w:rPr>
        <w:t>[时间与龙头速度] → [弧长反解 q₀(t)] → [全队位置 Pᵢ(t)] → [切向 τᵢ(t)] → [速度 wᵢ(t)] → [结果表] → [独立验证]</w:t>
      </w:r>
    </w:p>
    <w:p>
      <w:pPr>
        <w:pStyle w:val="Heading2"/>
      </w:pPr>
      <w:r>
        <w:t>4.2 建模模块表</w:t>
      </w:r>
    </w:p>
    <w:tbl>
      <w:tblPr>
        <w:tblStyle w:val="TableGrid"/>
        <w:tblW w:type="auto" w:w="0"/>
        <w:tblLook w:firstColumn="1" w:firstRow="1" w:lastColumn="0" w:lastRow="0" w:noHBand="0" w:noVBand="1" w:val="04A0"/>
      </w:tblPr>
      <w:tblGrid>
        <w:gridCol w:w="1572"/>
        <w:gridCol w:w="1572"/>
        <w:gridCol w:w="1572"/>
        <w:gridCol w:w="1572"/>
        <w:gridCol w:w="1572"/>
        <w:gridCol w:w="1572"/>
      </w:tblGrid>
      <w:tr>
        <w:tc>
          <w:tcPr>
            <w:tcW w:type="dxa" w:w="1572"/>
            <w:vAlign w:val="center"/>
          </w:tcPr>
          <w:p>
            <w:pPr>
              <w:jc w:val="center"/>
              <w:shd w:fill="DCE6F1"/>
            </w:pPr>
            <w:r>
              <w:rPr>
                <w:rFonts w:ascii="Times New Roman" w:hAnsi="Times New Roman" w:eastAsia="宋体"/>
                <w:b/>
                <w:sz w:val="19"/>
              </w:rPr>
              <w:t>建模模块</w:t>
            </w:r>
          </w:p>
        </w:tc>
        <w:tc>
          <w:tcPr>
            <w:tcW w:type="dxa" w:w="1572"/>
            <w:vAlign w:val="center"/>
          </w:tcPr>
          <w:p>
            <w:pPr>
              <w:jc w:val="center"/>
              <w:shd w:fill="DCE6F1"/>
            </w:pPr>
            <w:r>
              <w:rPr>
                <w:rFonts w:ascii="Times New Roman" w:hAnsi="Times New Roman" w:eastAsia="宋体"/>
                <w:b/>
                <w:sz w:val="19"/>
              </w:rPr>
              <w:t>为什么需要</w:t>
            </w:r>
          </w:p>
        </w:tc>
        <w:tc>
          <w:tcPr>
            <w:tcW w:type="dxa" w:w="1572"/>
            <w:vAlign w:val="center"/>
          </w:tcPr>
          <w:p>
            <w:pPr>
              <w:jc w:val="center"/>
              <w:shd w:fill="DCE6F1"/>
            </w:pPr>
            <w:r>
              <w:rPr>
                <w:rFonts w:ascii="Times New Roman" w:hAnsi="Times New Roman" w:eastAsia="宋体"/>
                <w:b/>
                <w:sz w:val="19"/>
              </w:rPr>
              <w:t>输入</w:t>
            </w:r>
          </w:p>
        </w:tc>
        <w:tc>
          <w:tcPr>
            <w:tcW w:type="dxa" w:w="1572"/>
            <w:vAlign w:val="center"/>
          </w:tcPr>
          <w:p>
            <w:pPr>
              <w:jc w:val="center"/>
              <w:shd w:fill="DCE6F1"/>
            </w:pPr>
            <w:r>
              <w:rPr>
                <w:rFonts w:ascii="Times New Roman" w:hAnsi="Times New Roman" w:eastAsia="宋体"/>
                <w:b/>
                <w:sz w:val="19"/>
              </w:rPr>
              <w:t>核心处理</w:t>
            </w:r>
          </w:p>
        </w:tc>
        <w:tc>
          <w:tcPr>
            <w:tcW w:type="dxa" w:w="1572"/>
            <w:vAlign w:val="center"/>
          </w:tcPr>
          <w:p>
            <w:pPr>
              <w:jc w:val="center"/>
              <w:shd w:fill="DCE6F1"/>
            </w:pPr>
            <w:r>
              <w:rPr>
                <w:rFonts w:ascii="Times New Roman" w:hAnsi="Times New Roman" w:eastAsia="宋体"/>
                <w:b/>
                <w:sz w:val="19"/>
              </w:rPr>
              <w:t>输出</w:t>
            </w:r>
          </w:p>
        </w:tc>
        <w:tc>
          <w:tcPr>
            <w:tcW w:type="dxa" w:w="1572"/>
            <w:vAlign w:val="center"/>
          </w:tcPr>
          <w:p>
            <w:pPr>
              <w:jc w:val="center"/>
              <w:shd w:fill="DCE6F1"/>
            </w:pPr>
            <w:r>
              <w:rPr>
                <w:rFonts w:ascii="Times New Roman" w:hAnsi="Times New Roman" w:eastAsia="宋体"/>
                <w:b/>
                <w:sz w:val="19"/>
              </w:rPr>
              <w:t>后续用途</w:t>
            </w:r>
          </w:p>
        </w:tc>
      </w:tr>
      <w:tr>
        <w:tc>
          <w:tcPr>
            <w:tcW w:type="dxa" w:w="1572"/>
            <w:vAlign w:val="center"/>
          </w:tcPr>
          <w:p>
            <w:pPr>
              <w:jc w:val="left"/>
            </w:pPr>
            <w:r>
              <w:rPr>
                <w:rFonts w:ascii="Times New Roman" w:hAnsi="Times New Roman" w:eastAsia="宋体"/>
                <w:b w:val="0"/>
                <w:sz w:val="19"/>
              </w:rPr>
              <w:t>弧长—时间转换</w:t>
            </w:r>
          </w:p>
        </w:tc>
        <w:tc>
          <w:tcPr>
            <w:tcW w:type="dxa" w:w="1572"/>
            <w:vAlign w:val="center"/>
          </w:tcPr>
          <w:p>
            <w:pPr>
              <w:jc w:val="left"/>
            </w:pPr>
            <w:r>
              <w:rPr>
                <w:rFonts w:ascii="Times New Roman" w:hAnsi="Times New Roman" w:eastAsia="宋体"/>
                <w:b w:val="0"/>
                <w:sz w:val="19"/>
              </w:rPr>
              <w:t>题面给的是线速度</w:t>
            </w:r>
          </w:p>
        </w:tc>
        <w:tc>
          <w:tcPr>
            <w:tcW w:type="dxa" w:w="1572"/>
            <w:vAlign w:val="center"/>
          </w:tcPr>
          <w:p>
            <w:pPr>
              <w:jc w:val="left"/>
            </w:pPr>
            <w:r>
              <w:rPr>
                <w:rFonts w:ascii="Times New Roman" w:hAnsi="Times New Roman" w:eastAsia="宋体"/>
                <w:b w:val="0"/>
                <w:sz w:val="19"/>
              </w:rPr>
              <w:t>t,U(t),θ₀(0)</w:t>
            </w:r>
          </w:p>
        </w:tc>
        <w:tc>
          <w:tcPr>
            <w:tcW w:type="dxa" w:w="1572"/>
            <w:vAlign w:val="center"/>
          </w:tcPr>
          <w:p>
            <w:pPr>
              <w:jc w:val="left"/>
            </w:pPr>
            <w:r>
              <w:rPr>
                <w:rFonts w:ascii="Times New Roman" w:hAnsi="Times New Roman" w:eastAsia="宋体"/>
                <w:b w:val="0"/>
                <w:sz w:val="19"/>
              </w:rPr>
              <w:t>反解累计弧长方程</w:t>
            </w:r>
          </w:p>
        </w:tc>
        <w:tc>
          <w:tcPr>
            <w:tcW w:type="dxa" w:w="1572"/>
            <w:vAlign w:val="center"/>
          </w:tcPr>
          <w:p>
            <w:pPr>
              <w:jc w:val="left"/>
            </w:pPr>
            <w:r>
              <w:rPr>
                <w:rFonts w:ascii="Times New Roman" w:hAnsi="Times New Roman" w:eastAsia="宋体"/>
                <w:b w:val="0"/>
                <w:sz w:val="19"/>
              </w:rPr>
              <w:t>q₀(t),P₀(t)</w:t>
            </w:r>
          </w:p>
        </w:tc>
        <w:tc>
          <w:tcPr>
            <w:tcW w:type="dxa" w:w="1572"/>
            <w:vAlign w:val="center"/>
          </w:tcPr>
          <w:p>
            <w:pPr>
              <w:jc w:val="left"/>
            </w:pPr>
            <w:r>
              <w:rPr>
                <w:rFonts w:ascii="Times New Roman" w:hAnsi="Times New Roman" w:eastAsia="宋体"/>
                <w:b w:val="0"/>
                <w:sz w:val="19"/>
              </w:rPr>
              <w:t>启动全队位置递推</w:t>
            </w:r>
          </w:p>
        </w:tc>
      </w:tr>
      <w:tr>
        <w:tc>
          <w:tcPr>
            <w:tcW w:type="dxa" w:w="1572"/>
            <w:vAlign w:val="center"/>
          </w:tcPr>
          <w:p>
            <w:pPr>
              <w:jc w:val="left"/>
            </w:pPr>
            <w:r>
              <w:rPr>
                <w:rFonts w:ascii="Times New Roman" w:hAnsi="Times New Roman" w:eastAsia="宋体"/>
                <w:b w:val="0"/>
                <w:sz w:val="19"/>
              </w:rPr>
              <w:t>节点位置递推</w:t>
            </w:r>
          </w:p>
        </w:tc>
        <w:tc>
          <w:tcPr>
            <w:tcW w:type="dxa" w:w="1572"/>
            <w:vAlign w:val="center"/>
          </w:tcPr>
          <w:p>
            <w:pPr>
              <w:jc w:val="left"/>
            </w:pPr>
            <w:r>
              <w:rPr>
                <w:rFonts w:ascii="Times New Roman" w:hAnsi="Times New Roman" w:eastAsia="宋体"/>
                <w:b w:val="0"/>
                <w:sz w:val="19"/>
              </w:rPr>
              <w:t>其余节点不能独立定位</w:t>
            </w:r>
          </w:p>
        </w:tc>
        <w:tc>
          <w:tcPr>
            <w:tcW w:type="dxa" w:w="1572"/>
            <w:vAlign w:val="center"/>
          </w:tcPr>
          <w:p>
            <w:pPr>
              <w:jc w:val="left"/>
            </w:pPr>
            <w:r>
              <w:rPr>
                <w:rFonts w:ascii="Times New Roman" w:hAnsi="Times New Roman" w:eastAsia="宋体"/>
                <w:b w:val="0"/>
                <w:sz w:val="19"/>
              </w:rPr>
              <w:t>P₀(t),Lᵢ,Γ</w:t>
            </w:r>
          </w:p>
        </w:tc>
        <w:tc>
          <w:tcPr>
            <w:tcW w:type="dxa" w:w="1572"/>
            <w:vAlign w:val="center"/>
          </w:tcPr>
          <w:p>
            <w:pPr>
              <w:jc w:val="left"/>
            </w:pPr>
            <w:r>
              <w:rPr>
                <w:rFonts w:ascii="Times New Roman" w:hAnsi="Times New Roman" w:eastAsia="宋体"/>
                <w:b w:val="0"/>
                <w:sz w:val="19"/>
              </w:rPr>
              <w:t>定长圆与真实轨迹求交</w:t>
            </w:r>
          </w:p>
        </w:tc>
        <w:tc>
          <w:tcPr>
            <w:tcW w:type="dxa" w:w="1572"/>
            <w:vAlign w:val="center"/>
          </w:tcPr>
          <w:p>
            <w:pPr>
              <w:jc w:val="left"/>
            </w:pPr>
            <w:r>
              <w:rPr>
                <w:rFonts w:ascii="Times New Roman" w:hAnsi="Times New Roman" w:eastAsia="宋体"/>
                <w:b w:val="0"/>
                <w:sz w:val="19"/>
              </w:rPr>
              <w:t>Pᵢ(t)</w:t>
            </w:r>
          </w:p>
        </w:tc>
        <w:tc>
          <w:tcPr>
            <w:tcW w:type="dxa" w:w="1572"/>
            <w:vAlign w:val="center"/>
          </w:tcPr>
          <w:p>
            <w:pPr>
              <w:jc w:val="left"/>
            </w:pPr>
            <w:r>
              <w:rPr>
                <w:rFonts w:ascii="Times New Roman" w:hAnsi="Times New Roman" w:eastAsia="宋体"/>
                <w:b w:val="0"/>
                <w:sz w:val="19"/>
              </w:rPr>
              <w:t>位置表、速度几何状态</w:t>
            </w:r>
          </w:p>
        </w:tc>
      </w:tr>
      <w:tr>
        <w:tc>
          <w:tcPr>
            <w:tcW w:type="dxa" w:w="1572"/>
            <w:vAlign w:val="center"/>
          </w:tcPr>
          <w:p>
            <w:pPr>
              <w:jc w:val="left"/>
            </w:pPr>
            <w:r>
              <w:rPr>
                <w:rFonts w:ascii="Times New Roman" w:hAnsi="Times New Roman" w:eastAsia="宋体"/>
                <w:b w:val="0"/>
                <w:sz w:val="19"/>
              </w:rPr>
              <w:t>切向方向</w:t>
            </w:r>
          </w:p>
        </w:tc>
        <w:tc>
          <w:tcPr>
            <w:tcW w:type="dxa" w:w="1572"/>
            <w:vAlign w:val="center"/>
          </w:tcPr>
          <w:p>
            <w:pPr>
              <w:jc w:val="left"/>
            </w:pPr>
            <w:r>
              <w:rPr>
                <w:rFonts w:ascii="Times New Roman" w:hAnsi="Times New Roman" w:eastAsia="宋体"/>
                <w:b w:val="0"/>
                <w:sz w:val="19"/>
              </w:rPr>
              <w:t>节点只能沿轨迹运动</w:t>
            </w:r>
          </w:p>
        </w:tc>
        <w:tc>
          <w:tcPr>
            <w:tcW w:type="dxa" w:w="1572"/>
            <w:vAlign w:val="center"/>
          </w:tcPr>
          <w:p>
            <w:pPr>
              <w:jc w:val="left"/>
            </w:pPr>
            <w:r>
              <w:rPr>
                <w:rFonts w:ascii="Times New Roman" w:hAnsi="Times New Roman" w:eastAsia="宋体"/>
                <w:b w:val="0"/>
                <w:sz w:val="19"/>
              </w:rPr>
              <w:t>qᵢ(t),Γ'(qᵢ)</w:t>
            </w:r>
          </w:p>
        </w:tc>
        <w:tc>
          <w:tcPr>
            <w:tcW w:type="dxa" w:w="1572"/>
            <w:vAlign w:val="center"/>
          </w:tcPr>
          <w:p>
            <w:pPr>
              <w:jc w:val="left"/>
            </w:pPr>
            <w:r>
              <w:rPr>
                <w:rFonts w:ascii="Times New Roman" w:hAnsi="Times New Roman" w:eastAsia="宋体"/>
                <w:b w:val="0"/>
                <w:sz w:val="19"/>
              </w:rPr>
              <w:t>单位化并统一盘入方向</w:t>
            </w:r>
          </w:p>
        </w:tc>
        <w:tc>
          <w:tcPr>
            <w:tcW w:type="dxa" w:w="1572"/>
            <w:vAlign w:val="center"/>
          </w:tcPr>
          <w:p>
            <w:pPr>
              <w:jc w:val="left"/>
            </w:pPr>
            <w:r>
              <w:rPr>
                <w:rFonts w:ascii="Times New Roman" w:hAnsi="Times New Roman" w:eastAsia="宋体"/>
                <w:b w:val="0"/>
                <w:sz w:val="19"/>
              </w:rPr>
              <w:t>τᵢ(t)</w:t>
            </w:r>
          </w:p>
        </w:tc>
        <w:tc>
          <w:tcPr>
            <w:tcW w:type="dxa" w:w="1572"/>
            <w:vAlign w:val="center"/>
          </w:tcPr>
          <w:p>
            <w:pPr>
              <w:jc w:val="left"/>
            </w:pPr>
            <w:r>
              <w:rPr>
                <w:rFonts w:ascii="Times New Roman" w:hAnsi="Times New Roman" w:eastAsia="宋体"/>
                <w:b w:val="0"/>
                <w:sz w:val="19"/>
              </w:rPr>
              <w:t>速度递推</w:t>
            </w:r>
          </w:p>
        </w:tc>
      </w:tr>
      <w:tr>
        <w:tc>
          <w:tcPr>
            <w:tcW w:type="dxa" w:w="1572"/>
            <w:vAlign w:val="center"/>
          </w:tcPr>
          <w:p>
            <w:pPr>
              <w:jc w:val="left"/>
            </w:pPr>
            <w:r>
              <w:rPr>
                <w:rFonts w:ascii="Times New Roman" w:hAnsi="Times New Roman" w:eastAsia="宋体"/>
                <w:b w:val="0"/>
                <w:sz w:val="19"/>
              </w:rPr>
              <w:t>刚杆速度递推</w:t>
            </w:r>
          </w:p>
        </w:tc>
        <w:tc>
          <w:tcPr>
            <w:tcW w:type="dxa" w:w="1572"/>
            <w:vAlign w:val="center"/>
          </w:tcPr>
          <w:p>
            <w:pPr>
              <w:jc w:val="left"/>
            </w:pPr>
            <w:r>
              <w:rPr>
                <w:rFonts w:ascii="Times New Roman" w:hAnsi="Times New Roman" w:eastAsia="宋体"/>
                <w:b w:val="0"/>
                <w:sz w:val="19"/>
              </w:rPr>
              <w:t>定长杆不允许轴向伸缩</w:t>
            </w:r>
          </w:p>
        </w:tc>
        <w:tc>
          <w:tcPr>
            <w:tcW w:type="dxa" w:w="1572"/>
            <w:vAlign w:val="center"/>
          </w:tcPr>
          <w:p>
            <w:pPr>
              <w:jc w:val="left"/>
            </w:pPr>
            <w:r>
              <w:rPr>
                <w:rFonts w:ascii="Times New Roman" w:hAnsi="Times New Roman" w:eastAsia="宋体"/>
                <w:b w:val="0"/>
                <w:sz w:val="19"/>
              </w:rPr>
              <w:t>Pᵢ,τᵢ,wᵢ₋₁</w:t>
            </w:r>
          </w:p>
        </w:tc>
        <w:tc>
          <w:tcPr>
            <w:tcW w:type="dxa" w:w="1572"/>
            <w:vAlign w:val="center"/>
          </w:tcPr>
          <w:p>
            <w:pPr>
              <w:jc w:val="left"/>
            </w:pPr>
            <w:r>
              <w:rPr>
                <w:rFonts w:ascii="Times New Roman" w:hAnsi="Times New Roman" w:eastAsia="宋体"/>
                <w:b w:val="0"/>
                <w:sz w:val="19"/>
              </w:rPr>
              <w:t>令杆轴方向相对速度为零</w:t>
            </w:r>
          </w:p>
        </w:tc>
        <w:tc>
          <w:tcPr>
            <w:tcW w:type="dxa" w:w="1572"/>
            <w:vAlign w:val="center"/>
          </w:tcPr>
          <w:p>
            <w:pPr>
              <w:jc w:val="left"/>
            </w:pPr>
            <w:r>
              <w:rPr>
                <w:rFonts w:ascii="Times New Roman" w:hAnsi="Times New Roman" w:eastAsia="宋体"/>
                <w:b w:val="0"/>
                <w:sz w:val="19"/>
              </w:rPr>
              <w:t>wᵢ, vᵢ</w:t>
            </w:r>
          </w:p>
        </w:tc>
        <w:tc>
          <w:tcPr>
            <w:tcW w:type="dxa" w:w="1572"/>
            <w:vAlign w:val="center"/>
          </w:tcPr>
          <w:p>
            <w:pPr>
              <w:jc w:val="left"/>
            </w:pPr>
            <w:r>
              <w:rPr>
                <w:rFonts w:ascii="Times New Roman" w:hAnsi="Times New Roman" w:eastAsia="宋体"/>
                <w:b w:val="0"/>
                <w:sz w:val="19"/>
              </w:rPr>
              <w:t>速度表、问题5</w:t>
            </w:r>
          </w:p>
        </w:tc>
      </w:tr>
      <w:tr>
        <w:tc>
          <w:tcPr>
            <w:tcW w:type="dxa" w:w="1572"/>
            <w:vAlign w:val="center"/>
          </w:tcPr>
          <w:p>
            <w:pPr>
              <w:jc w:val="left"/>
            </w:pPr>
            <w:r>
              <w:rPr>
                <w:rFonts w:ascii="Times New Roman" w:hAnsi="Times New Roman" w:eastAsia="宋体"/>
                <w:b w:val="0"/>
                <w:sz w:val="19"/>
              </w:rPr>
              <w:t>独立验证</w:t>
            </w:r>
          </w:p>
        </w:tc>
        <w:tc>
          <w:tcPr>
            <w:tcW w:type="dxa" w:w="1572"/>
            <w:vAlign w:val="center"/>
          </w:tcPr>
          <w:p>
            <w:pPr>
              <w:jc w:val="left"/>
            </w:pPr>
            <w:r>
              <w:rPr>
                <w:rFonts w:ascii="Times New Roman" w:hAnsi="Times New Roman" w:eastAsia="宋体"/>
                <w:b w:val="0"/>
                <w:sz w:val="19"/>
              </w:rPr>
              <w:t>防止位置和速度代码共同偏差</w:t>
            </w:r>
          </w:p>
        </w:tc>
        <w:tc>
          <w:tcPr>
            <w:tcW w:type="dxa" w:w="1572"/>
            <w:vAlign w:val="center"/>
          </w:tcPr>
          <w:p>
            <w:pPr>
              <w:jc w:val="left"/>
            </w:pPr>
            <w:r>
              <w:rPr>
                <w:rFonts w:ascii="Times New Roman" w:hAnsi="Times New Roman" w:eastAsia="宋体"/>
                <w:b w:val="0"/>
                <w:sz w:val="19"/>
              </w:rPr>
              <w:t>相邻时刻位置、解析速度</w:t>
            </w:r>
          </w:p>
        </w:tc>
        <w:tc>
          <w:tcPr>
            <w:tcW w:type="dxa" w:w="1572"/>
            <w:vAlign w:val="center"/>
          </w:tcPr>
          <w:p>
            <w:pPr>
              <w:jc w:val="left"/>
            </w:pPr>
            <w:r>
              <w:rPr>
                <w:rFonts w:ascii="Times New Roman" w:hAnsi="Times New Roman" w:eastAsia="宋体"/>
                <w:b w:val="0"/>
                <w:sz w:val="19"/>
              </w:rPr>
              <w:t>中心差分和残差比较</w:t>
            </w:r>
          </w:p>
        </w:tc>
        <w:tc>
          <w:tcPr>
            <w:tcW w:type="dxa" w:w="1572"/>
            <w:vAlign w:val="center"/>
          </w:tcPr>
          <w:p>
            <w:pPr>
              <w:jc w:val="left"/>
            </w:pPr>
            <w:r>
              <w:rPr>
                <w:rFonts w:ascii="Times New Roman" w:hAnsi="Times New Roman" w:eastAsia="宋体"/>
                <w:b w:val="0"/>
                <w:sz w:val="19"/>
              </w:rPr>
              <w:t>误差指标</w:t>
            </w:r>
          </w:p>
        </w:tc>
        <w:tc>
          <w:tcPr>
            <w:tcW w:type="dxa" w:w="1572"/>
            <w:vAlign w:val="center"/>
          </w:tcPr>
          <w:p>
            <w:pPr>
              <w:jc w:val="left"/>
            </w:pPr>
            <w:r>
              <w:rPr>
                <w:rFonts w:ascii="Times New Roman" w:hAnsi="Times New Roman" w:eastAsia="宋体"/>
                <w:b w:val="0"/>
                <w:sz w:val="19"/>
              </w:rPr>
              <w:t>判断结果是否可用</w:t>
            </w:r>
          </w:p>
        </w:tc>
      </w:tr>
    </w:tbl>
    <w:p>
      <w:pPr>
        <w:pStyle w:val="Heading2"/>
      </w:pPr>
      <w:r>
        <w:t>4.3 龙头弧长—时间关系</w:t>
      </w:r>
    </w:p>
    <w:p>
      <w:pPr>
        <w:ind w:firstLine="420"/>
      </w:pPr>
      <w:r>
        <w:rPr>
          <w:rFonts w:ascii="Times New Roman" w:hAnsi="Times New Roman" w:eastAsia="宋体"/>
          <w:sz w:val="21"/>
        </w:rPr>
        <w:t>螺线写为</w:t>
      </w:r>
    </w:p>
    <w:p>
      <w:pPr>
        <w:jc w:val="center"/>
      </w:pPr>
      <w:r>
        <w:drawing>
          <wp:inline xmlns:a="http://schemas.openxmlformats.org/drawingml/2006/main" xmlns:pic="http://schemas.openxmlformats.org/drawingml/2006/picture">
            <wp:extent cx="4105174" cy="404260"/>
            <wp:docPr id="1" name="Picture 1"/>
            <wp:cNvGraphicFramePr>
              <a:graphicFrameLocks noChangeAspect="1"/>
            </wp:cNvGraphicFramePr>
            <a:graphic>
              <a:graphicData uri="http://schemas.openxmlformats.org/drawingml/2006/picture">
                <pic:pic>
                  <pic:nvPicPr>
                    <pic:cNvPr id="0" name="formula-001.png"/>
                    <pic:cNvPicPr/>
                  </pic:nvPicPr>
                  <pic:blipFill>
                    <a:blip r:embed="rId10"/>
                    <a:stretch>
                      <a:fillRect/>
                    </a:stretch>
                  </pic:blipFill>
                  <pic:spPr>
                    <a:xfrm>
                      <a:off x="0" y="0"/>
                      <a:ext cx="4105174" cy="404260"/>
                    </a:xfrm>
                    <a:prstGeom prst="rect"/>
                  </pic:spPr>
                </pic:pic>
              </a:graphicData>
            </a:graphic>
          </wp:inline>
        </w:drawing>
      </w:r>
    </w:p>
    <w:p>
      <w:pPr>
        <w:ind w:firstLine="420"/>
      </w:pPr>
      <w:r>
        <w:rPr>
          <w:rFonts w:ascii="Times New Roman" w:hAnsi="Times New Roman" w:eastAsia="宋体"/>
          <w:sz w:val="21"/>
        </w:rPr>
        <w:t>其弧长原函数为</w:t>
      </w:r>
    </w:p>
    <w:p>
      <w:pPr>
        <w:jc w:val="center"/>
      </w:pPr>
      <w:r>
        <w:drawing>
          <wp:inline xmlns:a="http://schemas.openxmlformats.org/drawingml/2006/main" xmlns:pic="http://schemas.openxmlformats.org/drawingml/2006/picture">
            <wp:extent cx="3426593" cy="481263"/>
            <wp:docPr id="2" name="Picture 2"/>
            <wp:cNvGraphicFramePr>
              <a:graphicFrameLocks noChangeAspect="1"/>
            </wp:cNvGraphicFramePr>
            <a:graphic>
              <a:graphicData uri="http://schemas.openxmlformats.org/drawingml/2006/picture">
                <pic:pic>
                  <pic:nvPicPr>
                    <pic:cNvPr id="0" name="formula-002.png"/>
                    <pic:cNvPicPr/>
                  </pic:nvPicPr>
                  <pic:blipFill>
                    <a:blip r:embed="rId11"/>
                    <a:stretch>
                      <a:fillRect/>
                    </a:stretch>
                  </pic:blipFill>
                  <pic:spPr>
                    <a:xfrm>
                      <a:off x="0" y="0"/>
                      <a:ext cx="3426593" cy="481263"/>
                    </a:xfrm>
                    <a:prstGeom prst="rect"/>
                  </pic:spPr>
                </pic:pic>
              </a:graphicData>
            </a:graphic>
          </wp:inline>
        </w:drawing>
      </w:r>
    </w:p>
    <w:p>
      <w:pPr>
        <w:ind w:firstLine="420"/>
      </w:pPr>
      <w:r>
        <w:rPr>
          <w:rFonts w:ascii="Times New Roman" w:hAnsi="Times New Roman" w:eastAsia="宋体"/>
          <w:sz w:val="21"/>
        </w:rPr>
        <w:t>初值为 θ₀(0)=32π。盘入时参数减小，因此</w:t>
      </w:r>
    </w:p>
    <w:p>
      <w:pPr>
        <w:jc w:val="center"/>
      </w:pPr>
      <w:r>
        <w:drawing>
          <wp:inline xmlns:a="http://schemas.openxmlformats.org/drawingml/2006/main" xmlns:pic="http://schemas.openxmlformats.org/drawingml/2006/picture">
            <wp:extent cx="3368842" cy="514951"/>
            <wp:docPr id="3" name="Picture 3"/>
            <wp:cNvGraphicFramePr>
              <a:graphicFrameLocks noChangeAspect="1"/>
            </wp:cNvGraphicFramePr>
            <a:graphic>
              <a:graphicData uri="http://schemas.openxmlformats.org/drawingml/2006/picture">
                <pic:pic>
                  <pic:nvPicPr>
                    <pic:cNvPr id="0" name="formula-003.png"/>
                    <pic:cNvPicPr/>
                  </pic:nvPicPr>
                  <pic:blipFill>
                    <a:blip r:embed="rId12"/>
                    <a:stretch>
                      <a:fillRect/>
                    </a:stretch>
                  </pic:blipFill>
                  <pic:spPr>
                    <a:xfrm>
                      <a:off x="0" y="0"/>
                      <a:ext cx="3368842" cy="514951"/>
                    </a:xfrm>
                    <a:prstGeom prst="rect"/>
                  </pic:spPr>
                </pic:pic>
              </a:graphicData>
            </a:graphic>
          </wp:inline>
        </w:drawing>
      </w:r>
    </w:p>
    <w:p>
      <w:pPr>
        <w:ind w:firstLine="420"/>
      </w:pPr>
      <w:r>
        <w:rPr>
          <w:rFonts w:ascii="Times New Roman" w:hAnsi="Times New Roman" w:eastAsia="宋体"/>
          <w:sz w:val="21"/>
        </w:rPr>
        <w:t>问题1中 U(t)=1,m/s，故</w:t>
      </w:r>
    </w:p>
    <w:p>
      <w:pPr>
        <w:jc w:val="center"/>
      </w:pPr>
      <w:r>
        <w:drawing>
          <wp:inline xmlns:a="http://schemas.openxmlformats.org/drawingml/2006/main" xmlns:pic="http://schemas.openxmlformats.org/drawingml/2006/picture">
            <wp:extent cx="2305250" cy="317634"/>
            <wp:docPr id="4" name="Picture 4"/>
            <wp:cNvGraphicFramePr>
              <a:graphicFrameLocks noChangeAspect="1"/>
            </wp:cNvGraphicFramePr>
            <a:graphic>
              <a:graphicData uri="http://schemas.openxmlformats.org/drawingml/2006/picture">
                <pic:pic>
                  <pic:nvPicPr>
                    <pic:cNvPr id="0" name="formula-004.png"/>
                    <pic:cNvPicPr/>
                  </pic:nvPicPr>
                  <pic:blipFill>
                    <a:blip r:embed="rId13"/>
                    <a:stretch>
                      <a:fillRect/>
                    </a:stretch>
                  </pic:blipFill>
                  <pic:spPr>
                    <a:xfrm>
                      <a:off x="0" y="0"/>
                      <a:ext cx="2305250" cy="317634"/>
                    </a:xfrm>
                    <a:prstGeom prst="rect"/>
                  </pic:spPr>
                </pic:pic>
              </a:graphicData>
            </a:graphic>
          </wp:inline>
        </w:drawing>
      </w:r>
    </w:p>
    <w:p>
      <w:pPr>
        <w:ind w:firstLine="420"/>
      </w:pPr>
      <w:r>
        <w:rPr>
          <w:rFonts w:ascii="Times New Roman" w:hAnsi="Times New Roman" w:eastAsia="宋体"/>
          <w:sz w:val="21"/>
        </w:rPr>
        <w:t>反解得到 θ₀(t) 后，调用公共几何模型递推所有 Pᵢ(t)。</w:t>
      </w:r>
    </w:p>
    <w:p>
      <w:pPr>
        <w:pStyle w:val="Heading2"/>
      </w:pPr>
      <w:r>
        <w:t>4.4 速度方向和符号约定</w:t>
      </w:r>
    </w:p>
    <w:p>
      <w:pPr>
        <w:ind w:firstLine="420"/>
      </w:pPr>
      <w:r>
        <w:rPr>
          <w:rFonts w:ascii="Times New Roman" w:hAnsi="Times New Roman" w:eastAsia="宋体"/>
          <w:sz w:val="21"/>
        </w:rPr>
        <w:t>公共模型已定义 Pᵢ,Lᵢ,Γ(q),qᵢ,εᵢ。本问新增：</w:t>
      </w:r>
    </w:p>
    <w:tbl>
      <w:tblPr>
        <w:tblStyle w:val="TableGrid"/>
        <w:tblW w:type="auto" w:w="0"/>
        <w:tblLook w:firstColumn="1" w:firstRow="1" w:lastColumn="0" w:lastRow="0" w:noHBand="0" w:noVBand="1" w:val="04A0"/>
      </w:tblPr>
      <w:tblGrid>
        <w:gridCol w:w="3145"/>
        <w:gridCol w:w="3145"/>
        <w:gridCol w:w="3145"/>
      </w:tblGrid>
      <w:tr>
        <w:tc>
          <w:tcPr>
            <w:tcW w:type="dxa" w:w="3145"/>
            <w:vAlign w:val="center"/>
          </w:tcPr>
          <w:p>
            <w:pPr>
              <w:jc w:val="center"/>
              <w:shd w:fill="DCE6F1"/>
            </w:pPr>
            <w:r>
              <w:rPr>
                <w:rFonts w:ascii="Times New Roman" w:hAnsi="Times New Roman" w:eastAsia="宋体"/>
                <w:b/>
                <w:sz w:val="19"/>
              </w:rPr>
              <w:t>符号</w:t>
            </w:r>
          </w:p>
        </w:tc>
        <w:tc>
          <w:tcPr>
            <w:tcW w:type="dxa" w:w="3145"/>
            <w:vAlign w:val="center"/>
          </w:tcPr>
          <w:p>
            <w:pPr>
              <w:jc w:val="center"/>
              <w:shd w:fill="DCE6F1"/>
            </w:pPr>
            <w:r>
              <w:rPr>
                <w:rFonts w:ascii="Times New Roman" w:hAnsi="Times New Roman" w:eastAsia="宋体"/>
                <w:b/>
                <w:sz w:val="19"/>
              </w:rPr>
              <w:t>含义</w:t>
            </w:r>
          </w:p>
        </w:tc>
        <w:tc>
          <w:tcPr>
            <w:tcW w:type="dxa" w:w="3145"/>
            <w:vAlign w:val="center"/>
          </w:tcPr>
          <w:p>
            <w:pPr>
              <w:jc w:val="center"/>
              <w:shd w:fill="DCE6F1"/>
            </w:pPr>
            <w:r>
              <w:rPr>
                <w:rFonts w:ascii="Times New Roman" w:hAnsi="Times New Roman" w:eastAsia="宋体"/>
                <w:b/>
                <w:sz w:val="19"/>
              </w:rPr>
              <w:t>单位</w:t>
            </w:r>
          </w:p>
        </w:tc>
      </w:tr>
      <w:tr>
        <w:tc>
          <w:tcPr>
            <w:tcW w:type="dxa" w:w="3145"/>
            <w:vAlign w:val="center"/>
          </w:tcPr>
          <w:p>
            <w:pPr>
              <w:jc w:val="left"/>
            </w:pPr>
            <w:r>
              <w:rPr>
                <w:rFonts w:ascii="Times New Roman" w:hAnsi="Times New Roman" w:eastAsia="宋体"/>
                <w:b w:val="0"/>
                <w:sz w:val="19"/>
              </w:rPr>
              <w:t>s₀(t)</w:t>
            </w:r>
          </w:p>
        </w:tc>
        <w:tc>
          <w:tcPr>
            <w:tcW w:type="dxa" w:w="3145"/>
            <w:vAlign w:val="center"/>
          </w:tcPr>
          <w:p>
            <w:pPr>
              <w:jc w:val="left"/>
            </w:pPr>
            <w:r>
              <w:rPr>
                <w:rFonts w:ascii="Times New Roman" w:hAnsi="Times New Roman" w:eastAsia="宋体"/>
                <w:b w:val="0"/>
                <w:sz w:val="19"/>
              </w:rPr>
              <w:t>龙头沿轨迹的有向弧长坐标</w:t>
            </w:r>
          </w:p>
        </w:tc>
        <w:tc>
          <w:tcPr>
            <w:tcW w:type="dxa" w:w="3145"/>
            <w:vAlign w:val="center"/>
          </w:tcPr>
          <w:p>
            <w:pPr>
              <w:jc w:val="left"/>
            </w:pPr>
            <w:r>
              <w:rPr>
                <w:rFonts w:ascii="Times New Roman" w:hAnsi="Times New Roman" w:eastAsia="宋体"/>
                <w:b w:val="0"/>
                <w:sz w:val="19"/>
              </w:rPr>
              <w:t>m</w:t>
            </w:r>
          </w:p>
        </w:tc>
      </w:tr>
      <w:tr>
        <w:tc>
          <w:tcPr>
            <w:tcW w:type="dxa" w:w="3145"/>
            <w:vAlign w:val="center"/>
          </w:tcPr>
          <w:p>
            <w:pPr>
              <w:jc w:val="left"/>
            </w:pPr>
            <w:r>
              <w:rPr>
                <w:rFonts w:ascii="Times New Roman" w:hAnsi="Times New Roman" w:eastAsia="宋体"/>
                <w:b w:val="0"/>
                <w:sz w:val="19"/>
              </w:rPr>
              <w:t>U(t)</w:t>
            </w:r>
          </w:p>
        </w:tc>
        <w:tc>
          <w:tcPr>
            <w:tcW w:type="dxa" w:w="3145"/>
            <w:vAlign w:val="center"/>
          </w:tcPr>
          <w:p>
            <w:pPr>
              <w:jc w:val="left"/>
            </w:pPr>
            <w:r>
              <w:rPr>
                <w:rFonts w:ascii="Times New Roman" w:hAnsi="Times New Roman" w:eastAsia="宋体"/>
                <w:b w:val="0"/>
                <w:sz w:val="19"/>
              </w:rPr>
              <w:t>龙头速度大小</w:t>
            </w:r>
          </w:p>
        </w:tc>
        <w:tc>
          <w:tcPr>
            <w:tcW w:type="dxa" w:w="3145"/>
            <w:vAlign w:val="center"/>
          </w:tcPr>
          <w:p>
            <w:pPr>
              <w:jc w:val="left"/>
            </w:pPr>
            <w:r>
              <w:rPr>
                <w:rFonts w:ascii="Times New Roman" w:hAnsi="Times New Roman" w:eastAsia="宋体"/>
                <w:b w:val="0"/>
                <w:sz w:val="19"/>
              </w:rPr>
              <w:t>m/s</w:t>
            </w:r>
          </w:p>
        </w:tc>
      </w:tr>
      <w:tr>
        <w:tc>
          <w:tcPr>
            <w:tcW w:type="dxa" w:w="3145"/>
            <w:vAlign w:val="center"/>
          </w:tcPr>
          <w:p>
            <w:pPr>
              <w:jc w:val="left"/>
            </w:pPr>
            <w:r>
              <w:rPr>
                <w:rFonts w:ascii="Times New Roman" w:hAnsi="Times New Roman" w:eastAsia="宋体"/>
                <w:b w:val="0"/>
                <w:sz w:val="19"/>
              </w:rPr>
              <w:t>tᵢ</w:t>
            </w:r>
          </w:p>
        </w:tc>
        <w:tc>
          <w:tcPr>
            <w:tcW w:type="dxa" w:w="3145"/>
            <w:vAlign w:val="center"/>
          </w:tcPr>
          <w:p>
            <w:pPr>
              <w:jc w:val="left"/>
            </w:pPr>
            <w:r>
              <w:rPr>
                <w:rFonts w:ascii="Times New Roman" w:hAnsi="Times New Roman" w:eastAsia="宋体"/>
                <w:b w:val="0"/>
                <w:sz w:val="19"/>
              </w:rPr>
              <w:t>轨迹参数增加方向的单位切向量</w:t>
            </w:r>
          </w:p>
        </w:tc>
        <w:tc>
          <w:tcPr>
            <w:tcW w:type="dxa" w:w="3145"/>
            <w:vAlign w:val="center"/>
          </w:tcPr>
          <w:p>
            <w:pPr>
              <w:jc w:val="left"/>
            </w:pPr>
            <w:r>
              <w:rPr>
                <w:rFonts w:ascii="Times New Roman" w:hAnsi="Times New Roman" w:eastAsia="宋体"/>
                <w:b w:val="0"/>
                <w:sz w:val="19"/>
              </w:rPr>
              <w:t>无量纲</w:t>
            </w:r>
          </w:p>
        </w:tc>
      </w:tr>
      <w:tr>
        <w:tc>
          <w:tcPr>
            <w:tcW w:type="dxa" w:w="3145"/>
            <w:vAlign w:val="center"/>
          </w:tcPr>
          <w:p>
            <w:pPr>
              <w:jc w:val="left"/>
            </w:pPr>
            <w:r>
              <w:rPr>
                <w:rFonts w:ascii="Times New Roman" w:hAnsi="Times New Roman" w:eastAsia="宋体"/>
                <w:b w:val="0"/>
                <w:sz w:val="19"/>
              </w:rPr>
              <w:t>τᵢ</w:t>
            </w:r>
          </w:p>
        </w:tc>
        <w:tc>
          <w:tcPr>
            <w:tcW w:type="dxa" w:w="3145"/>
            <w:vAlign w:val="center"/>
          </w:tcPr>
          <w:p>
            <w:pPr>
              <w:jc w:val="left"/>
            </w:pPr>
            <w:r>
              <w:rPr>
                <w:rFonts w:ascii="Times New Roman" w:hAnsi="Times New Roman" w:eastAsia="宋体"/>
                <w:b w:val="0"/>
                <w:sz w:val="19"/>
              </w:rPr>
              <w:t>实际运动方向单位切向量</w:t>
            </w:r>
          </w:p>
        </w:tc>
        <w:tc>
          <w:tcPr>
            <w:tcW w:type="dxa" w:w="3145"/>
            <w:vAlign w:val="center"/>
          </w:tcPr>
          <w:p>
            <w:pPr>
              <w:jc w:val="left"/>
            </w:pPr>
            <w:r>
              <w:rPr>
                <w:rFonts w:ascii="Times New Roman" w:hAnsi="Times New Roman" w:eastAsia="宋体"/>
                <w:b w:val="0"/>
                <w:sz w:val="19"/>
              </w:rPr>
              <w:t>无量纲</w:t>
            </w:r>
          </w:p>
        </w:tc>
      </w:tr>
      <w:tr>
        <w:tc>
          <w:tcPr>
            <w:tcW w:type="dxa" w:w="3145"/>
            <w:vAlign w:val="center"/>
          </w:tcPr>
          <w:p>
            <w:pPr>
              <w:jc w:val="left"/>
            </w:pPr>
            <w:r>
              <w:rPr>
                <w:rFonts w:ascii="Times New Roman" w:hAnsi="Times New Roman" w:eastAsia="宋体"/>
                <w:b w:val="0"/>
                <w:sz w:val="19"/>
              </w:rPr>
              <w:t>wᵢ</w:t>
            </w:r>
          </w:p>
        </w:tc>
        <w:tc>
          <w:tcPr>
            <w:tcW w:type="dxa" w:w="3145"/>
            <w:vAlign w:val="center"/>
          </w:tcPr>
          <w:p>
            <w:pPr>
              <w:jc w:val="left"/>
            </w:pPr>
            <w:r>
              <w:rPr>
                <w:rFonts w:ascii="Times New Roman" w:hAnsi="Times New Roman" w:eastAsia="宋体"/>
                <w:b w:val="0"/>
                <w:sz w:val="19"/>
              </w:rPr>
              <w:t>节点沿实际运动方向的有向标量速度</w:t>
            </w:r>
          </w:p>
        </w:tc>
        <w:tc>
          <w:tcPr>
            <w:tcW w:type="dxa" w:w="3145"/>
            <w:vAlign w:val="center"/>
          </w:tcPr>
          <w:p>
            <w:pPr>
              <w:jc w:val="left"/>
            </w:pPr>
            <w:r>
              <w:rPr>
                <w:rFonts w:ascii="Times New Roman" w:hAnsi="Times New Roman" w:eastAsia="宋体"/>
                <w:b w:val="0"/>
                <w:sz w:val="19"/>
              </w:rPr>
              <w:t>m/s</w:t>
            </w:r>
          </w:p>
        </w:tc>
      </w:tr>
      <w:tr>
        <w:tc>
          <w:tcPr>
            <w:tcW w:type="dxa" w:w="3145"/>
            <w:vAlign w:val="center"/>
          </w:tcPr>
          <w:p>
            <w:pPr>
              <w:jc w:val="left"/>
            </w:pPr>
            <w:r>
              <w:rPr>
                <w:rFonts w:ascii="Times New Roman" w:hAnsi="Times New Roman" w:eastAsia="宋体"/>
                <w:b w:val="0"/>
                <w:sz w:val="19"/>
              </w:rPr>
              <w:t>vᵢ=| wᵢ|</w:t>
            </w:r>
          </w:p>
        </w:tc>
        <w:tc>
          <w:tcPr>
            <w:tcW w:type="dxa" w:w="3145"/>
            <w:vAlign w:val="center"/>
          </w:tcPr>
          <w:p>
            <w:pPr>
              <w:jc w:val="left"/>
            </w:pPr>
            <w:r>
              <w:rPr>
                <w:rFonts w:ascii="Times New Roman" w:hAnsi="Times New Roman" w:eastAsia="宋体"/>
                <w:b w:val="0"/>
                <w:sz w:val="19"/>
              </w:rPr>
              <w:t>第 i 个把手速度大小</w:t>
            </w:r>
          </w:p>
        </w:tc>
        <w:tc>
          <w:tcPr>
            <w:tcW w:type="dxa" w:w="3145"/>
            <w:vAlign w:val="center"/>
          </w:tcPr>
          <w:p>
            <w:pPr>
              <w:jc w:val="left"/>
            </w:pPr>
            <w:r>
              <w:rPr>
                <w:rFonts w:ascii="Times New Roman" w:hAnsi="Times New Roman" w:eastAsia="宋体"/>
                <w:b w:val="0"/>
                <w:sz w:val="19"/>
              </w:rPr>
              <w:t>m/s</w:t>
            </w:r>
          </w:p>
        </w:tc>
      </w:tr>
      <w:tr>
        <w:tc>
          <w:tcPr>
            <w:tcW w:type="dxa" w:w="3145"/>
            <w:vAlign w:val="center"/>
          </w:tcPr>
          <w:p>
            <w:pPr>
              <w:jc w:val="left"/>
            </w:pPr>
            <w:r>
              <w:rPr>
                <w:rFonts w:ascii="Times New Roman" w:hAnsi="Times New Roman" w:eastAsia="宋体"/>
                <w:b w:val="0"/>
                <w:sz w:val="19"/>
              </w:rPr>
              <w:t>Kᵢ=wᵢ/w₀</w:t>
            </w:r>
          </w:p>
        </w:tc>
        <w:tc>
          <w:tcPr>
            <w:tcW w:type="dxa" w:w="3145"/>
            <w:vAlign w:val="center"/>
          </w:tcPr>
          <w:p>
            <w:pPr>
              <w:jc w:val="left"/>
            </w:pPr>
            <w:r>
              <w:rPr>
                <w:rFonts w:ascii="Times New Roman" w:hAnsi="Times New Roman" w:eastAsia="宋体"/>
                <w:b w:val="0"/>
                <w:sz w:val="19"/>
              </w:rPr>
              <w:t>固定几何状态下的速度比例</w:t>
            </w:r>
          </w:p>
        </w:tc>
        <w:tc>
          <w:tcPr>
            <w:tcW w:type="dxa" w:w="3145"/>
            <w:vAlign w:val="center"/>
          </w:tcPr>
          <w:p>
            <w:pPr>
              <w:jc w:val="left"/>
            </w:pPr>
            <w:r>
              <w:rPr>
                <w:rFonts w:ascii="Times New Roman" w:hAnsi="Times New Roman" w:eastAsia="宋体"/>
                <w:b w:val="0"/>
                <w:sz w:val="19"/>
              </w:rPr>
              <w:t>无量纲</w:t>
            </w:r>
          </w:p>
        </w:tc>
      </w:tr>
      <w:tr>
        <w:tc>
          <w:tcPr>
            <w:tcW w:type="dxa" w:w="3145"/>
            <w:vAlign w:val="center"/>
          </w:tcPr>
          <w:p>
            <w:pPr>
              <w:jc w:val="left"/>
            </w:pPr>
            <w:r>
              <w:rPr>
                <w:rFonts w:ascii="Times New Roman" w:hAnsi="Times New Roman" w:eastAsia="宋体"/>
                <w:b w:val="0"/>
                <w:sz w:val="19"/>
              </w:rPr>
              <w:t>vᵢ</w:t>
            </w:r>
          </w:p>
        </w:tc>
        <w:tc>
          <w:tcPr>
            <w:tcW w:type="dxa" w:w="3145"/>
            <w:vAlign w:val="center"/>
          </w:tcPr>
          <w:p>
            <w:pPr>
              <w:jc w:val="left"/>
            </w:pPr>
            <w:r>
              <w:rPr>
                <w:rFonts w:ascii="Times New Roman" w:hAnsi="Times New Roman" w:eastAsia="宋体"/>
                <w:b w:val="0"/>
                <w:sz w:val="19"/>
              </w:rPr>
              <w:t>第 i 个把手的二维速度向量</w:t>
            </w:r>
          </w:p>
        </w:tc>
        <w:tc>
          <w:tcPr>
            <w:tcW w:type="dxa" w:w="3145"/>
            <w:vAlign w:val="center"/>
          </w:tcPr>
          <w:p>
            <w:pPr>
              <w:jc w:val="left"/>
            </w:pPr>
            <w:r>
              <w:rPr>
                <w:rFonts w:ascii="Times New Roman" w:hAnsi="Times New Roman" w:eastAsia="宋体"/>
                <w:b w:val="0"/>
                <w:sz w:val="19"/>
              </w:rPr>
              <w:t>m/s</w:t>
            </w:r>
          </w:p>
        </w:tc>
      </w:tr>
    </w:tbl>
    <w:p>
      <w:pPr>
        <w:ind w:firstLine="420"/>
      </w:pPr>
      <w:r>
        <w:rPr>
          <w:rFonts w:ascii="Times New Roman" w:hAnsi="Times New Roman" w:eastAsia="宋体"/>
          <w:sz w:val="21"/>
        </w:rPr>
        <w:t>轨迹参数沿龙头到龙尾方向增加，而盘入方向与之相反，故</w:t>
      </w:r>
    </w:p>
    <w:p>
      <w:pPr>
        <w:jc w:val="center"/>
      </w:pPr>
      <w:r>
        <w:drawing>
          <wp:inline xmlns:a="http://schemas.openxmlformats.org/drawingml/2006/main" xmlns:pic="http://schemas.openxmlformats.org/drawingml/2006/picture">
            <wp:extent cx="2367814" cy="481263"/>
            <wp:docPr id="5" name="Picture 5"/>
            <wp:cNvGraphicFramePr>
              <a:graphicFrameLocks noChangeAspect="1"/>
            </wp:cNvGraphicFramePr>
            <a:graphic>
              <a:graphicData uri="http://schemas.openxmlformats.org/drawingml/2006/picture">
                <pic:pic>
                  <pic:nvPicPr>
                    <pic:cNvPr id="0" name="formula-005.png"/>
                    <pic:cNvPicPr/>
                  </pic:nvPicPr>
                  <pic:blipFill>
                    <a:blip r:embed="rId14"/>
                    <a:stretch>
                      <a:fillRect/>
                    </a:stretch>
                  </pic:blipFill>
                  <pic:spPr>
                    <a:xfrm>
                      <a:off x="0" y="0"/>
                      <a:ext cx="2367814" cy="481263"/>
                    </a:xfrm>
                    <a:prstGeom prst="rect"/>
                  </pic:spPr>
                </pic:pic>
              </a:graphicData>
            </a:graphic>
          </wp:inline>
        </w:drawing>
      </w:r>
    </w:p>
    <w:p>
      <w:pPr>
        <w:ind w:firstLine="420"/>
      </w:pPr>
      <w:r>
        <w:rPr>
          <w:rFonts w:ascii="Times New Roman" w:hAnsi="Times New Roman" w:eastAsia="宋体"/>
          <w:sz w:val="21"/>
        </w:rPr>
        <w:t>当前计算区间内 wᵢ&gt;0，因此 vᵢ=wᵢ；若后续轨迹使 wᵢ 变号，速度大小仍应取 | wᵢ|。</w:t>
      </w:r>
    </w:p>
    <w:p>
      <w:pPr>
        <w:pStyle w:val="Heading2"/>
      </w:pPr>
      <w:r>
        <w:t>4.5 刚杆约束速度递推</w:t>
      </w:r>
    </w:p>
    <w:p>
      <w:pPr>
        <w:ind w:firstLine="420"/>
      </w:pPr>
      <w:r>
        <w:rPr>
          <w:rFonts w:ascii="Times New Roman" w:hAnsi="Times New Roman" w:eastAsia="宋体"/>
          <w:sz w:val="21"/>
        </w:rPr>
        <w:t>节点速度写为</w:t>
      </w:r>
    </w:p>
    <w:p>
      <w:pPr>
        <w:jc w:val="center"/>
      </w:pPr>
      <w:r>
        <w:drawing>
          <wp:inline xmlns:a="http://schemas.openxmlformats.org/drawingml/2006/main" xmlns:pic="http://schemas.openxmlformats.org/drawingml/2006/picture">
            <wp:extent cx="1554480" cy="436431"/>
            <wp:docPr id="6" name="Picture 6"/>
            <wp:cNvGraphicFramePr>
              <a:graphicFrameLocks noChangeAspect="1"/>
            </wp:cNvGraphicFramePr>
            <a:graphic>
              <a:graphicData uri="http://schemas.openxmlformats.org/drawingml/2006/picture">
                <pic:pic>
                  <pic:nvPicPr>
                    <pic:cNvPr id="0" name="formula-006.png"/>
                    <pic:cNvPicPr/>
                  </pic:nvPicPr>
                  <pic:blipFill>
                    <a:blip r:embed="rId15"/>
                    <a:stretch>
                      <a:fillRect/>
                    </a:stretch>
                  </pic:blipFill>
                  <pic:spPr>
                    <a:xfrm>
                      <a:off x="0" y="0"/>
                      <a:ext cx="1554480" cy="436431"/>
                    </a:xfrm>
                    <a:prstGeom prst="rect"/>
                  </pic:spPr>
                </pic:pic>
              </a:graphicData>
            </a:graphic>
          </wp:inline>
        </w:drawing>
      </w:r>
    </w:p>
    <w:p>
      <w:pPr>
        <w:ind w:firstLine="420"/>
      </w:pPr>
      <w:r>
        <w:rPr>
          <w:rFonts w:ascii="Times New Roman" w:hAnsi="Times New Roman" w:eastAsia="宋体"/>
          <w:sz w:val="21"/>
        </w:rPr>
        <w:t>相邻节点距离恒定：</w:t>
      </w:r>
    </w:p>
    <w:p>
      <w:pPr>
        <w:jc w:val="center"/>
      </w:pPr>
      <w:r>
        <w:drawing>
          <wp:inline xmlns:a="http://schemas.openxmlformats.org/drawingml/2006/main" xmlns:pic="http://schemas.openxmlformats.org/drawingml/2006/picture">
            <wp:extent cx="1828800" cy="365759"/>
            <wp:docPr id="7" name="Picture 7"/>
            <wp:cNvGraphicFramePr>
              <a:graphicFrameLocks noChangeAspect="1"/>
            </wp:cNvGraphicFramePr>
            <a:graphic>
              <a:graphicData uri="http://schemas.openxmlformats.org/drawingml/2006/picture">
                <pic:pic>
                  <pic:nvPicPr>
                    <pic:cNvPr id="0" name="formula-007.png"/>
                    <pic:cNvPicPr/>
                  </pic:nvPicPr>
                  <pic:blipFill>
                    <a:blip r:embed="rId16"/>
                    <a:stretch>
                      <a:fillRect/>
                    </a:stretch>
                  </pic:blipFill>
                  <pic:spPr>
                    <a:xfrm>
                      <a:off x="0" y="0"/>
                      <a:ext cx="1828800" cy="365759"/>
                    </a:xfrm>
                    <a:prstGeom prst="rect"/>
                  </pic:spPr>
                </pic:pic>
              </a:graphicData>
            </a:graphic>
          </wp:inline>
        </w:drawing>
      </w:r>
    </w:p>
    <w:p>
      <w:pPr>
        <w:ind w:firstLine="420"/>
      </w:pPr>
      <w:r>
        <w:rPr>
          <w:rFonts w:ascii="Times New Roman" w:hAnsi="Times New Roman" w:eastAsia="宋体"/>
          <w:sz w:val="21"/>
        </w:rPr>
        <w:t>对时间求导：</w:t>
      </w:r>
    </w:p>
    <w:p>
      <w:pPr>
        <w:jc w:val="center"/>
      </w:pPr>
      <w:r>
        <w:drawing>
          <wp:inline xmlns:a="http://schemas.openxmlformats.org/drawingml/2006/main" xmlns:pic="http://schemas.openxmlformats.org/drawingml/2006/picture">
            <wp:extent cx="3031957" cy="317634"/>
            <wp:docPr id="8" name="Picture 8"/>
            <wp:cNvGraphicFramePr>
              <a:graphicFrameLocks noChangeAspect="1"/>
            </wp:cNvGraphicFramePr>
            <a:graphic>
              <a:graphicData uri="http://schemas.openxmlformats.org/drawingml/2006/picture">
                <pic:pic>
                  <pic:nvPicPr>
                    <pic:cNvPr id="0" name="formula-008.png"/>
                    <pic:cNvPicPr/>
                  </pic:nvPicPr>
                  <pic:blipFill>
                    <a:blip r:embed="rId17"/>
                    <a:stretch>
                      <a:fillRect/>
                    </a:stretch>
                  </pic:blipFill>
                  <pic:spPr>
                    <a:xfrm>
                      <a:off x="0" y="0"/>
                      <a:ext cx="3031957" cy="317634"/>
                    </a:xfrm>
                    <a:prstGeom prst="rect"/>
                  </pic:spPr>
                </pic:pic>
              </a:graphicData>
            </a:graphic>
          </wp:inline>
        </w:drawing>
      </w:r>
    </w:p>
    <w:p>
      <w:pPr>
        <w:ind w:firstLine="420"/>
      </w:pPr>
      <w:r>
        <w:rPr>
          <w:rFonts w:ascii="Times New Roman" w:hAnsi="Times New Roman" w:eastAsia="宋体"/>
          <w:sz w:val="21"/>
        </w:rPr>
        <w:t>于是</w:t>
      </w:r>
    </w:p>
    <w:p>
      <w:pPr>
        <w:jc w:val="center"/>
      </w:pPr>
      <w:r>
        <w:drawing>
          <wp:inline xmlns:a="http://schemas.openxmlformats.org/drawingml/2006/main" xmlns:pic="http://schemas.openxmlformats.org/drawingml/2006/picture">
            <wp:extent cx="3561347" cy="317634"/>
            <wp:docPr id="9" name="Picture 9"/>
            <wp:cNvGraphicFramePr>
              <a:graphicFrameLocks noChangeAspect="1"/>
            </wp:cNvGraphicFramePr>
            <a:graphic>
              <a:graphicData uri="http://schemas.openxmlformats.org/drawingml/2006/picture">
                <pic:pic>
                  <pic:nvPicPr>
                    <pic:cNvPr id="0" name="formula-009.png"/>
                    <pic:cNvPicPr/>
                  </pic:nvPicPr>
                  <pic:blipFill>
                    <a:blip r:embed="rId18"/>
                    <a:stretch>
                      <a:fillRect/>
                    </a:stretch>
                  </pic:blipFill>
                  <pic:spPr>
                    <a:xfrm>
                      <a:off x="0" y="0"/>
                      <a:ext cx="3561347" cy="317634"/>
                    </a:xfrm>
                    <a:prstGeom prst="rect"/>
                  </pic:spPr>
                </pic:pic>
              </a:graphicData>
            </a:graphic>
          </wp:inline>
        </w:drawing>
      </w:r>
    </w:p>
    <w:p>
      <w:pPr>
        <w:ind w:firstLine="420"/>
      </w:pPr>
      <w:r>
        <w:rPr>
          <w:rFonts w:ascii="Times New Roman" w:hAnsi="Times New Roman" w:eastAsia="宋体"/>
          <w:sz w:val="21"/>
        </w:rPr>
        <w:t>代入 vⱼ=wⱼτⱼ，得到</w:t>
      </w:r>
    </w:p>
    <w:p>
      <w:pPr>
        <w:jc w:val="center"/>
      </w:pPr>
      <w:r>
        <w:drawing>
          <wp:inline xmlns:a="http://schemas.openxmlformats.org/drawingml/2006/main" xmlns:pic="http://schemas.openxmlformats.org/drawingml/2006/picture">
            <wp:extent cx="4312117" cy="317634"/>
            <wp:docPr id="10" name="Picture 10"/>
            <wp:cNvGraphicFramePr>
              <a:graphicFrameLocks noChangeAspect="1"/>
            </wp:cNvGraphicFramePr>
            <a:graphic>
              <a:graphicData uri="http://schemas.openxmlformats.org/drawingml/2006/picture">
                <pic:pic>
                  <pic:nvPicPr>
                    <pic:cNvPr id="0" name="formula-010.png"/>
                    <pic:cNvPicPr/>
                  </pic:nvPicPr>
                  <pic:blipFill>
                    <a:blip r:embed="rId19"/>
                    <a:stretch>
                      <a:fillRect/>
                    </a:stretch>
                  </pic:blipFill>
                  <pic:spPr>
                    <a:xfrm>
                      <a:off x="0" y="0"/>
                      <a:ext cx="4312117" cy="317634"/>
                    </a:xfrm>
                    <a:prstGeom prst="rect"/>
                  </pic:spPr>
                </pic:pic>
              </a:graphicData>
            </a:graphic>
          </wp:inline>
        </w:drawing>
      </w:r>
    </w:p>
    <w:p>
      <w:pPr>
        <w:ind w:firstLine="420"/>
      </w:pPr>
      <w:r>
        <w:rPr>
          <w:rFonts w:ascii="Times New Roman" w:hAnsi="Times New Roman" w:eastAsia="宋体"/>
          <w:sz w:val="21"/>
        </w:rPr>
        <w:t>当分母不为零时，</w:t>
      </w:r>
    </w:p>
    <w:p>
      <w:pPr>
        <w:jc w:val="center"/>
      </w:pPr>
      <w:r>
        <w:drawing>
          <wp:inline xmlns:a="http://schemas.openxmlformats.org/drawingml/2006/main" xmlns:pic="http://schemas.openxmlformats.org/drawingml/2006/picture">
            <wp:extent cx="2387065" cy="457199"/>
            <wp:docPr id="11" name="Picture 11"/>
            <wp:cNvGraphicFramePr>
              <a:graphicFrameLocks noChangeAspect="1"/>
            </wp:cNvGraphicFramePr>
            <a:graphic>
              <a:graphicData uri="http://schemas.openxmlformats.org/drawingml/2006/picture">
                <pic:pic>
                  <pic:nvPicPr>
                    <pic:cNvPr id="0" name="formula-011.png"/>
                    <pic:cNvPicPr/>
                  </pic:nvPicPr>
                  <pic:blipFill>
                    <a:blip r:embed="rId20"/>
                    <a:stretch>
                      <a:fillRect/>
                    </a:stretch>
                  </pic:blipFill>
                  <pic:spPr>
                    <a:xfrm>
                      <a:off x="0" y="0"/>
                      <a:ext cx="2387065" cy="457199"/>
                    </a:xfrm>
                    <a:prstGeom prst="rect"/>
                  </pic:spPr>
                </pic:pic>
              </a:graphicData>
            </a:graphic>
          </wp:inline>
        </w:drawing>
      </w:r>
    </w:p>
    <w:p>
      <w:pPr>
        <w:ind w:firstLine="420"/>
      </w:pPr>
      <w:r>
        <w:rPr>
          <w:rFonts w:ascii="Times New Roman" w:hAnsi="Times New Roman" w:eastAsia="宋体"/>
          <w:sz w:val="21"/>
        </w:rPr>
        <w:t>该比例由当前杆方向和两个节点的轨迹切向共同决定，并不是经验衰减系数。若定义 Kᵢ=wᵢ/w₀，则固定几何状态下有</w:t>
      </w:r>
    </w:p>
    <w:p>
      <w:pPr>
        <w:jc w:val="center"/>
      </w:pPr>
      <w:r>
        <w:drawing>
          <wp:inline xmlns:a="http://schemas.openxmlformats.org/drawingml/2006/main" xmlns:pic="http://schemas.openxmlformats.org/drawingml/2006/picture">
            <wp:extent cx="1554480" cy="442223"/>
            <wp:docPr id="12" name="Picture 12"/>
            <wp:cNvGraphicFramePr>
              <a:graphicFrameLocks noChangeAspect="1"/>
            </wp:cNvGraphicFramePr>
            <a:graphic>
              <a:graphicData uri="http://schemas.openxmlformats.org/drawingml/2006/picture">
                <pic:pic>
                  <pic:nvPicPr>
                    <pic:cNvPr id="0" name="formula-012.png"/>
                    <pic:cNvPicPr/>
                  </pic:nvPicPr>
                  <pic:blipFill>
                    <a:blip r:embed="rId21"/>
                    <a:stretch>
                      <a:fillRect/>
                    </a:stretch>
                  </pic:blipFill>
                  <pic:spPr>
                    <a:xfrm>
                      <a:off x="0" y="0"/>
                      <a:ext cx="1554480" cy="442223"/>
                    </a:xfrm>
                    <a:prstGeom prst="rect"/>
                  </pic:spPr>
                </pic:pic>
              </a:graphicData>
            </a:graphic>
          </wp:inline>
        </w:drawing>
      </w:r>
    </w:p>
    <w:p>
      <w:pPr>
        <w:ind w:firstLine="420"/>
      </w:pPr>
      <w:r>
        <w:rPr>
          <w:rFonts w:ascii="Times New Roman" w:hAnsi="Times New Roman" w:eastAsia="宋体"/>
          <w:sz w:val="21"/>
        </w:rPr>
        <w:t>但 Kᵢ 随时间和位置改变，不是常数，也不能在一般情况下预先断言沿龙身单调减小。</w:t>
      </w:r>
    </w:p>
    <w:p>
      <w:pPr>
        <w:pStyle w:val="Heading2"/>
      </w:pPr>
      <w:r>
        <w:t>4.6 每个时刻的计算步骤</w:t>
      </w:r>
    </w:p>
    <w:p>
      <w:pPr>
        <w:ind w:firstLine="420"/>
      </w:pPr>
      <w:r>
        <w:rPr>
          <w:rFonts w:ascii="Times New Roman" w:hAnsi="Times New Roman" w:eastAsia="宋体"/>
          <w:sz w:val="21"/>
        </w:rPr>
        <w:t>对每个 t=0,1,…,300 s：</w:t>
      </w:r>
    </w:p>
    <w:p>
      <w:pPr>
        <w:ind w:firstLine="420"/>
      </w:pPr>
      <w:r>
        <w:rPr>
          <w:rFonts w:ascii="Times New Roman" w:hAnsi="Times New Roman" w:eastAsia="宋体"/>
          <w:sz w:val="21"/>
        </w:rPr>
        <w:t>1. 由弧长方程求解龙头参数 q₀(t)；</w:t>
      </w:r>
    </w:p>
    <w:p>
      <w:pPr>
        <w:ind w:firstLine="420"/>
      </w:pPr>
      <w:r>
        <w:rPr>
          <w:rFonts w:ascii="Times New Roman" w:hAnsi="Times New Roman" w:eastAsia="宋体"/>
          <w:sz w:val="21"/>
        </w:rPr>
        <w:t>2. 用公共几何模型递推全部节点 Pᵢ(t)；</w:t>
      </w:r>
    </w:p>
    <w:p>
      <w:pPr>
        <w:ind w:firstLine="420"/>
      </w:pPr>
      <w:r>
        <w:rPr>
          <w:rFonts w:ascii="Times New Roman" w:hAnsi="Times New Roman" w:eastAsia="宋体"/>
          <w:sz w:val="21"/>
        </w:rPr>
        <w:t>3. 由轨迹导数计算实际运动方向 τᵢ(t)；</w:t>
      </w:r>
    </w:p>
    <w:p>
      <w:pPr>
        <w:ind w:firstLine="420"/>
      </w:pPr>
      <w:r>
        <w:rPr>
          <w:rFonts w:ascii="Times New Roman" w:hAnsi="Times New Roman" w:eastAsia="宋体"/>
          <w:sz w:val="21"/>
        </w:rPr>
        <w:t>4. 令 w₀(t)=1,m/s，逐杆计算其余 wᵢ(t)；</w:t>
      </w:r>
    </w:p>
    <w:p>
      <w:pPr>
        <w:ind w:firstLine="420"/>
      </w:pPr>
      <w:r>
        <w:rPr>
          <w:rFonts w:ascii="Times New Roman" w:hAnsi="Times New Roman" w:eastAsia="宋体"/>
          <w:sz w:val="21"/>
        </w:rPr>
        <w:t>5. 计算二维速度 vᵢ(t)=wᵢ(t)τᵢ(t)；</w:t>
      </w:r>
    </w:p>
    <w:p>
      <w:pPr>
        <w:ind w:firstLine="420"/>
      </w:pPr>
      <w:r>
        <w:rPr>
          <w:rFonts w:ascii="Times New Roman" w:hAnsi="Times New Roman" w:eastAsia="宋体"/>
          <w:sz w:val="21"/>
        </w:rPr>
        <w:t>6. 写入完整结果表和六个论文抽样时刻；</w:t>
      </w:r>
    </w:p>
    <w:p>
      <w:pPr>
        <w:ind w:firstLine="420"/>
      </w:pPr>
      <w:r>
        <w:rPr>
          <w:rFonts w:ascii="Times New Roman" w:hAnsi="Times New Roman" w:eastAsia="宋体"/>
          <w:sz w:val="21"/>
        </w:rPr>
        <w:t>7. 回代杆长与速度约束，并用中心差分独立验证。</w:t>
      </w:r>
    </w:p>
    <w:p>
      <w:pPr>
        <w:pStyle w:val="Heading1"/>
      </w:pPr>
      <w:r>
        <w:t>5. 问题1结果及其实际含义</w:t>
      </w:r>
    </w:p>
    <w:p>
      <w:pPr>
        <w:pStyle w:val="Heading2"/>
      </w:pPr>
      <w:r>
        <w:t>5.1 位置结果如何回答题目</w:t>
      </w:r>
    </w:p>
    <w:p>
      <w:pPr>
        <w:ind w:firstLine="420"/>
      </w:pPr>
      <w:r>
        <w:rPr>
          <w:rFonts w:ascii="Times New Roman" w:hAnsi="Times New Roman" w:eastAsia="宋体"/>
          <w:sz w:val="21"/>
        </w:rPr>
        <w:t>完整结果包含 301 个时刻、224 个节点。龙头坐标及龙尾后把手坐标的部分结果如下：</w:t>
      </w:r>
    </w:p>
    <w:tbl>
      <w:tblPr>
        <w:tblStyle w:val="TableGrid"/>
        <w:tblW w:type="auto" w:w="0"/>
        <w:tblLook w:firstColumn="1" w:firstRow="1" w:lastColumn="0" w:lastRow="0" w:noHBand="0" w:noVBand="1" w:val="04A0"/>
      </w:tblPr>
      <w:tblGrid>
        <w:gridCol w:w="3145"/>
        <w:gridCol w:w="3145"/>
        <w:gridCol w:w="3145"/>
      </w:tblGrid>
      <w:tr>
        <w:tc>
          <w:tcPr>
            <w:tcW w:type="dxa" w:w="3145"/>
            <w:vAlign w:val="center"/>
          </w:tcPr>
          <w:p>
            <w:pPr>
              <w:jc w:val="center"/>
              <w:shd w:fill="DCE6F1"/>
            </w:pPr>
            <w:r>
              <w:rPr>
                <w:rFonts w:ascii="Times New Roman" w:hAnsi="Times New Roman" w:eastAsia="宋体"/>
                <w:b/>
                <w:sz w:val="19"/>
              </w:rPr>
              <w:t>时刻</w:t>
            </w:r>
          </w:p>
        </w:tc>
        <w:tc>
          <w:tcPr>
            <w:tcW w:type="dxa" w:w="3145"/>
            <w:vAlign w:val="center"/>
          </w:tcPr>
          <w:p>
            <w:pPr>
              <w:jc w:val="center"/>
              <w:shd w:fill="DCE6F1"/>
            </w:pPr>
            <w:r>
              <w:rPr>
                <w:rFonts w:ascii="Times New Roman" w:hAnsi="Times New Roman" w:eastAsia="宋体"/>
                <w:b/>
                <w:sz w:val="19"/>
              </w:rPr>
              <w:t>龙头位置 (x,y) / m</w:t>
            </w:r>
          </w:p>
        </w:tc>
        <w:tc>
          <w:tcPr>
            <w:tcW w:type="dxa" w:w="3145"/>
            <w:vAlign w:val="center"/>
          </w:tcPr>
          <w:p>
            <w:pPr>
              <w:jc w:val="center"/>
              <w:shd w:fill="DCE6F1"/>
            </w:pPr>
            <w:r>
              <w:rPr>
                <w:rFonts w:ascii="Times New Roman" w:hAnsi="Times New Roman" w:eastAsia="宋体"/>
                <w:b/>
                <w:sz w:val="19"/>
              </w:rPr>
              <w:t>龙尾后把手位置 (x,y) / m</w:t>
            </w:r>
          </w:p>
        </w:tc>
      </w:tr>
      <w:tr>
        <w:tc>
          <w:tcPr>
            <w:tcW w:type="dxa" w:w="3145"/>
            <w:vAlign w:val="center"/>
          </w:tcPr>
          <w:p>
            <w:pPr>
              <w:jc w:val="left"/>
            </w:pPr>
            <w:r>
              <w:rPr>
                <w:rFonts w:ascii="Times New Roman" w:hAnsi="Times New Roman" w:eastAsia="宋体"/>
                <w:b w:val="0"/>
                <w:sz w:val="19"/>
              </w:rPr>
              <w:t>0 s</w:t>
            </w:r>
          </w:p>
        </w:tc>
        <w:tc>
          <w:tcPr>
            <w:tcW w:type="dxa" w:w="3145"/>
            <w:vAlign w:val="center"/>
          </w:tcPr>
          <w:p>
            <w:pPr>
              <w:jc w:val="left"/>
            </w:pPr>
            <w:r>
              <w:rPr>
                <w:rFonts w:ascii="Times New Roman" w:hAnsi="Times New Roman" w:eastAsia="宋体"/>
                <w:b w:val="0"/>
                <w:sz w:val="19"/>
              </w:rPr>
              <w:t>(8.800000,0.000000)</w:t>
            </w:r>
          </w:p>
        </w:tc>
        <w:tc>
          <w:tcPr>
            <w:tcW w:type="dxa" w:w="3145"/>
            <w:vAlign w:val="center"/>
          </w:tcPr>
          <w:p>
            <w:pPr>
              <w:jc w:val="left"/>
            </w:pPr>
            <w:r>
              <w:rPr>
                <w:rFonts w:ascii="Times New Roman" w:hAnsi="Times New Roman" w:eastAsia="宋体"/>
                <w:b w:val="0"/>
                <w:sz w:val="19"/>
              </w:rPr>
              <w:t>(-5.305444,-10.676584)</w:t>
            </w:r>
          </w:p>
        </w:tc>
      </w:tr>
      <w:tr>
        <w:tc>
          <w:tcPr>
            <w:tcW w:type="dxa" w:w="3145"/>
            <w:vAlign w:val="center"/>
          </w:tcPr>
          <w:p>
            <w:pPr>
              <w:jc w:val="left"/>
            </w:pPr>
            <w:r>
              <w:rPr>
                <w:rFonts w:ascii="Times New Roman" w:hAnsi="Times New Roman" w:eastAsia="宋体"/>
                <w:b w:val="0"/>
                <w:sz w:val="19"/>
              </w:rPr>
              <w:t>120 s</w:t>
            </w:r>
          </w:p>
        </w:tc>
        <w:tc>
          <w:tcPr>
            <w:tcW w:type="dxa" w:w="3145"/>
            <w:vAlign w:val="center"/>
          </w:tcPr>
          <w:p>
            <w:pPr>
              <w:jc w:val="left"/>
            </w:pPr>
            <w:r>
              <w:rPr>
                <w:rFonts w:ascii="Times New Roman" w:hAnsi="Times New Roman" w:eastAsia="宋体"/>
                <w:b w:val="0"/>
                <w:sz w:val="19"/>
              </w:rPr>
              <w:t>(-4.084887,-6.304479)</w:t>
            </w:r>
          </w:p>
        </w:tc>
        <w:tc>
          <w:tcPr>
            <w:tcW w:type="dxa" w:w="3145"/>
            <w:vAlign w:val="center"/>
          </w:tcPr>
          <w:p>
            <w:pPr>
              <w:jc w:val="left"/>
            </w:pPr>
            <w:r>
              <w:rPr>
                <w:rFonts w:ascii="Times New Roman" w:hAnsi="Times New Roman" w:eastAsia="宋体"/>
                <w:b w:val="0"/>
                <w:sz w:val="19"/>
              </w:rPr>
              <w:t>(10.974348,0.843473)</w:t>
            </w:r>
          </w:p>
        </w:tc>
      </w:tr>
      <w:tr>
        <w:tc>
          <w:tcPr>
            <w:tcW w:type="dxa" w:w="3145"/>
            <w:vAlign w:val="center"/>
          </w:tcPr>
          <w:p>
            <w:pPr>
              <w:jc w:val="left"/>
            </w:pPr>
            <w:r>
              <w:rPr>
                <w:rFonts w:ascii="Times New Roman" w:hAnsi="Times New Roman" w:eastAsia="宋体"/>
                <w:b w:val="0"/>
                <w:sz w:val="19"/>
              </w:rPr>
              <w:t>240 s</w:t>
            </w:r>
          </w:p>
        </w:tc>
        <w:tc>
          <w:tcPr>
            <w:tcW w:type="dxa" w:w="3145"/>
            <w:vAlign w:val="center"/>
          </w:tcPr>
          <w:p>
            <w:pPr>
              <w:jc w:val="left"/>
            </w:pPr>
            <w:r>
              <w:rPr>
                <w:rFonts w:ascii="Times New Roman" w:hAnsi="Times New Roman" w:eastAsia="宋体"/>
                <w:b w:val="0"/>
                <w:sz w:val="19"/>
              </w:rPr>
              <w:t>(2.594494,-5.356743)</w:t>
            </w:r>
          </w:p>
        </w:tc>
        <w:tc>
          <w:tcPr>
            <w:tcW w:type="dxa" w:w="3145"/>
            <w:vAlign w:val="center"/>
          </w:tcPr>
          <w:p>
            <w:pPr>
              <w:jc w:val="left"/>
            </w:pPr>
            <w:r>
              <w:rPr>
                <w:rFonts w:ascii="Times New Roman" w:hAnsi="Times New Roman" w:eastAsia="宋体"/>
                <w:b w:val="0"/>
                <w:sz w:val="19"/>
              </w:rPr>
              <w:t>(3.241051,9.469336)</w:t>
            </w:r>
          </w:p>
        </w:tc>
      </w:tr>
      <w:tr>
        <w:tc>
          <w:tcPr>
            <w:tcW w:type="dxa" w:w="3145"/>
            <w:vAlign w:val="center"/>
          </w:tcPr>
          <w:p>
            <w:pPr>
              <w:jc w:val="left"/>
            </w:pPr>
            <w:r>
              <w:rPr>
                <w:rFonts w:ascii="Times New Roman" w:hAnsi="Times New Roman" w:eastAsia="宋体"/>
                <w:b w:val="0"/>
                <w:sz w:val="19"/>
              </w:rPr>
              <w:t>300 s</w:t>
            </w:r>
          </w:p>
        </w:tc>
        <w:tc>
          <w:tcPr>
            <w:tcW w:type="dxa" w:w="3145"/>
            <w:vAlign w:val="center"/>
          </w:tcPr>
          <w:p>
            <w:pPr>
              <w:jc w:val="left"/>
            </w:pPr>
            <w:r>
              <w:rPr>
                <w:rFonts w:ascii="Times New Roman" w:hAnsi="Times New Roman" w:eastAsia="宋体"/>
                <w:b w:val="0"/>
                <w:sz w:val="19"/>
              </w:rPr>
              <w:t>(4.420274,2.320429)</w:t>
            </w:r>
          </w:p>
        </w:tc>
        <w:tc>
          <w:tcPr>
            <w:tcW w:type="dxa" w:w="3145"/>
            <w:vAlign w:val="center"/>
          </w:tcPr>
          <w:p>
            <w:pPr>
              <w:jc w:val="left"/>
            </w:pPr>
            <w:r>
              <w:rPr>
                <w:rFonts w:ascii="Times New Roman" w:hAnsi="Times New Roman" w:eastAsia="宋体"/>
                <w:b w:val="0"/>
                <w:sz w:val="19"/>
              </w:rPr>
              <w:t>(1.785033,9.301164)</w:t>
            </w:r>
          </w:p>
        </w:tc>
      </w:tr>
    </w:tbl>
    <w:p>
      <w:pPr>
        <w:ind w:firstLine="420"/>
      </w:pPr>
      <w:r>
        <w:rPr>
          <w:rFonts w:ascii="Times New Roman" w:hAnsi="Times New Roman" w:eastAsia="宋体"/>
          <w:sz w:val="21"/>
        </w:rPr>
        <w:t>龙头以恒定弧长速度运动，但其 x、y 分量并不线性变化，因为螺线切向方向持续旋转。龙头到中心的半径由 8.8 m 减小到约 4.9923 m，表明龙头不断向内盘入；龙尾仍位于更外层螺线，300 s 时半径约 9.4709 m，反映了整条龙在空间上同时跨越多圈螺线。</w:t>
      </w:r>
    </w:p>
    <w:p>
      <w:pPr>
        <w:ind w:firstLine="420"/>
      </w:pPr>
      <w:r>
        <w:rPr>
          <w:rFonts w:ascii="Times New Roman" w:hAnsi="Times New Roman" w:eastAsia="宋体"/>
          <w:sz w:val="21"/>
        </w:rPr>
        <w:t>因此，问题1的位置答案不是一条单独的龙头轨迹，而是每个时刻全部把手中心的同步几何状态。完整数值见 tables/result1.xlsx，论文正文可直接引用 tables/论文抽样位置表.md。</w:t>
      </w:r>
    </w:p>
    <w:p>
      <w:pPr>
        <w:pStyle w:val="Heading2"/>
      </w:pPr>
      <w:r>
        <w:t>5.2 速度结果和变化规律</w:t>
      </w:r>
    </w:p>
    <w:p>
      <w:pPr>
        <w:ind w:firstLine="420"/>
      </w:pPr>
      <w:r>
        <w:rPr>
          <w:rFonts w:ascii="Times New Roman" w:hAnsi="Times New Roman" w:eastAsia="宋体"/>
          <w:sz w:val="21"/>
        </w:rPr>
        <w:t>六个论文抽样时刻的龙头与龙尾速度为：</w:t>
      </w:r>
    </w:p>
    <w:tbl>
      <w:tblPr>
        <w:tblStyle w:val="TableGrid"/>
        <w:tblW w:type="auto" w:w="0"/>
        <w:tblLook w:firstColumn="1" w:firstRow="1" w:lastColumn="0" w:lastRow="0" w:noHBand="0" w:noVBand="1" w:val="04A0"/>
      </w:tblPr>
      <w:tblGrid>
        <w:gridCol w:w="2358"/>
        <w:gridCol w:w="2358"/>
        <w:gridCol w:w="2358"/>
        <w:gridCol w:w="2358"/>
      </w:tblGrid>
      <w:tr>
        <w:tc>
          <w:tcPr>
            <w:tcW w:type="dxa" w:w="2358"/>
            <w:vAlign w:val="center"/>
          </w:tcPr>
          <w:p>
            <w:pPr>
              <w:jc w:val="center"/>
              <w:shd w:fill="DCE6F1"/>
            </w:pPr>
            <w:r>
              <w:rPr>
                <w:rFonts w:ascii="Times New Roman" w:hAnsi="Times New Roman" w:eastAsia="宋体"/>
                <w:b/>
                <w:sz w:val="19"/>
              </w:rPr>
              <w:t>时刻</w:t>
            </w:r>
          </w:p>
        </w:tc>
        <w:tc>
          <w:tcPr>
            <w:tcW w:type="dxa" w:w="2358"/>
            <w:vAlign w:val="center"/>
          </w:tcPr>
          <w:p>
            <w:pPr>
              <w:jc w:val="center"/>
              <w:shd w:fill="DCE6F1"/>
            </w:pPr>
            <w:r>
              <w:rPr>
                <w:rFonts w:ascii="Times New Roman" w:hAnsi="Times New Roman" w:eastAsia="宋体"/>
                <w:b/>
                <w:sz w:val="19"/>
              </w:rPr>
              <w:t>龙头速度 / m·s⁻¹</w:t>
            </w:r>
          </w:p>
        </w:tc>
        <w:tc>
          <w:tcPr>
            <w:tcW w:type="dxa" w:w="2358"/>
            <w:vAlign w:val="center"/>
          </w:tcPr>
          <w:p>
            <w:pPr>
              <w:jc w:val="center"/>
              <w:shd w:fill="DCE6F1"/>
            </w:pPr>
            <w:r>
              <w:rPr>
                <w:rFonts w:ascii="Times New Roman" w:hAnsi="Times New Roman" w:eastAsia="宋体"/>
                <w:b/>
                <w:sz w:val="19"/>
              </w:rPr>
              <w:t>龙尾后把手速度 / m·s⁻¹</w:t>
            </w:r>
          </w:p>
        </w:tc>
        <w:tc>
          <w:tcPr>
            <w:tcW w:type="dxa" w:w="2358"/>
            <w:vAlign w:val="center"/>
          </w:tcPr>
          <w:p>
            <w:pPr>
              <w:jc w:val="center"/>
              <w:shd w:fill="DCE6F1"/>
            </w:pPr>
            <w:r>
              <w:rPr>
                <w:rFonts w:ascii="Times New Roman" w:hAnsi="Times New Roman" w:eastAsia="宋体"/>
                <w:b/>
                <w:sz w:val="19"/>
              </w:rPr>
              <w:t>两者差值 / m·s⁻¹</w:t>
            </w:r>
          </w:p>
        </w:tc>
      </w:tr>
      <w:tr>
        <w:tc>
          <w:tcPr>
            <w:tcW w:type="dxa" w:w="2358"/>
            <w:vAlign w:val="center"/>
          </w:tcPr>
          <w:p>
            <w:pPr>
              <w:jc w:val="left"/>
            </w:pPr>
            <w:r>
              <w:rPr>
                <w:rFonts w:ascii="Times New Roman" w:hAnsi="Times New Roman" w:eastAsia="宋体"/>
                <w:b w:val="0"/>
                <w:sz w:val="19"/>
              </w:rPr>
              <w:t>0 s</w:t>
            </w:r>
          </w:p>
        </w:tc>
        <w:tc>
          <w:tcPr>
            <w:tcW w:type="dxa" w:w="2358"/>
            <w:vAlign w:val="center"/>
          </w:tcPr>
          <w:p>
            <w:pPr>
              <w:jc w:val="left"/>
            </w:pPr>
            <w:r>
              <w:rPr>
                <w:rFonts w:ascii="Times New Roman" w:hAnsi="Times New Roman" w:eastAsia="宋体"/>
                <w:b w:val="0"/>
                <w:sz w:val="19"/>
              </w:rPr>
              <w:t>1.000000</w:t>
            </w:r>
          </w:p>
        </w:tc>
        <w:tc>
          <w:tcPr>
            <w:tcW w:type="dxa" w:w="2358"/>
            <w:vAlign w:val="center"/>
          </w:tcPr>
          <w:p>
            <w:pPr>
              <w:jc w:val="left"/>
            </w:pPr>
            <w:r>
              <w:rPr>
                <w:rFonts w:ascii="Times New Roman" w:hAnsi="Times New Roman" w:eastAsia="宋体"/>
                <w:b w:val="0"/>
                <w:sz w:val="19"/>
              </w:rPr>
              <w:t>0.999311</w:t>
            </w:r>
          </w:p>
        </w:tc>
        <w:tc>
          <w:tcPr>
            <w:tcW w:type="dxa" w:w="2358"/>
            <w:vAlign w:val="center"/>
          </w:tcPr>
          <w:p>
            <w:pPr>
              <w:jc w:val="left"/>
            </w:pPr>
            <w:r>
              <w:rPr>
                <w:rFonts w:ascii="Times New Roman" w:hAnsi="Times New Roman" w:eastAsia="宋体"/>
                <w:b w:val="0"/>
                <w:sz w:val="19"/>
              </w:rPr>
              <w:t>0.000689</w:t>
            </w:r>
          </w:p>
        </w:tc>
      </w:tr>
      <w:tr>
        <w:tc>
          <w:tcPr>
            <w:tcW w:type="dxa" w:w="2358"/>
            <w:vAlign w:val="center"/>
          </w:tcPr>
          <w:p>
            <w:pPr>
              <w:jc w:val="left"/>
            </w:pPr>
            <w:r>
              <w:rPr>
                <w:rFonts w:ascii="Times New Roman" w:hAnsi="Times New Roman" w:eastAsia="宋体"/>
                <w:b w:val="0"/>
                <w:sz w:val="19"/>
              </w:rPr>
              <w:t>120 s</w:t>
            </w:r>
          </w:p>
        </w:tc>
        <w:tc>
          <w:tcPr>
            <w:tcW w:type="dxa" w:w="2358"/>
            <w:vAlign w:val="center"/>
          </w:tcPr>
          <w:p>
            <w:pPr>
              <w:jc w:val="left"/>
            </w:pPr>
            <w:r>
              <w:rPr>
                <w:rFonts w:ascii="Times New Roman" w:hAnsi="Times New Roman" w:eastAsia="宋体"/>
                <w:b w:val="0"/>
                <w:sz w:val="19"/>
              </w:rPr>
              <w:t>1.000000</w:t>
            </w:r>
          </w:p>
        </w:tc>
        <w:tc>
          <w:tcPr>
            <w:tcW w:type="dxa" w:w="2358"/>
            <w:vAlign w:val="center"/>
          </w:tcPr>
          <w:p>
            <w:pPr>
              <w:jc w:val="left"/>
            </w:pPr>
            <w:r>
              <w:rPr>
                <w:rFonts w:ascii="Times New Roman" w:hAnsi="Times New Roman" w:eastAsia="宋体"/>
                <w:b w:val="0"/>
                <w:sz w:val="19"/>
              </w:rPr>
              <w:t>0.998883</w:t>
            </w:r>
          </w:p>
        </w:tc>
        <w:tc>
          <w:tcPr>
            <w:tcW w:type="dxa" w:w="2358"/>
            <w:vAlign w:val="center"/>
          </w:tcPr>
          <w:p>
            <w:pPr>
              <w:jc w:val="left"/>
            </w:pPr>
            <w:r>
              <w:rPr>
                <w:rFonts w:ascii="Times New Roman" w:hAnsi="Times New Roman" w:eastAsia="宋体"/>
                <w:b w:val="0"/>
                <w:sz w:val="19"/>
              </w:rPr>
              <w:t>0.001117</w:t>
            </w:r>
          </w:p>
        </w:tc>
      </w:tr>
      <w:tr>
        <w:tc>
          <w:tcPr>
            <w:tcW w:type="dxa" w:w="2358"/>
            <w:vAlign w:val="center"/>
          </w:tcPr>
          <w:p>
            <w:pPr>
              <w:jc w:val="left"/>
            </w:pPr>
            <w:r>
              <w:rPr>
                <w:rFonts w:ascii="Times New Roman" w:hAnsi="Times New Roman" w:eastAsia="宋体"/>
                <w:b w:val="0"/>
                <w:sz w:val="19"/>
              </w:rPr>
              <w:t>240 s</w:t>
            </w:r>
          </w:p>
        </w:tc>
        <w:tc>
          <w:tcPr>
            <w:tcW w:type="dxa" w:w="2358"/>
            <w:vAlign w:val="center"/>
          </w:tcPr>
          <w:p>
            <w:pPr>
              <w:jc w:val="left"/>
            </w:pPr>
            <w:r>
              <w:rPr>
                <w:rFonts w:ascii="Times New Roman" w:hAnsi="Times New Roman" w:eastAsia="宋体"/>
                <w:b w:val="0"/>
                <w:sz w:val="19"/>
              </w:rPr>
              <w:t>1.000000</w:t>
            </w:r>
          </w:p>
        </w:tc>
        <w:tc>
          <w:tcPr>
            <w:tcW w:type="dxa" w:w="2358"/>
            <w:vAlign w:val="center"/>
          </w:tcPr>
          <w:p>
            <w:pPr>
              <w:jc w:val="left"/>
            </w:pPr>
            <w:r>
              <w:rPr>
                <w:rFonts w:ascii="Times New Roman" w:hAnsi="Times New Roman" w:eastAsia="宋体"/>
                <w:b w:val="0"/>
                <w:sz w:val="19"/>
              </w:rPr>
              <w:t>0.997816</w:t>
            </w:r>
          </w:p>
        </w:tc>
        <w:tc>
          <w:tcPr>
            <w:tcW w:type="dxa" w:w="2358"/>
            <w:vAlign w:val="center"/>
          </w:tcPr>
          <w:p>
            <w:pPr>
              <w:jc w:val="left"/>
            </w:pPr>
            <w:r>
              <w:rPr>
                <w:rFonts w:ascii="Times New Roman" w:hAnsi="Times New Roman" w:eastAsia="宋体"/>
                <w:b w:val="0"/>
                <w:sz w:val="19"/>
              </w:rPr>
              <w:t>0.002184</w:t>
            </w:r>
          </w:p>
        </w:tc>
      </w:tr>
      <w:tr>
        <w:tc>
          <w:tcPr>
            <w:tcW w:type="dxa" w:w="2358"/>
            <w:vAlign w:val="center"/>
          </w:tcPr>
          <w:p>
            <w:pPr>
              <w:jc w:val="left"/>
            </w:pPr>
            <w:r>
              <w:rPr>
                <w:rFonts w:ascii="Times New Roman" w:hAnsi="Times New Roman" w:eastAsia="宋体"/>
                <w:b w:val="0"/>
                <w:sz w:val="19"/>
              </w:rPr>
              <w:t>300 s</w:t>
            </w:r>
          </w:p>
        </w:tc>
        <w:tc>
          <w:tcPr>
            <w:tcW w:type="dxa" w:w="2358"/>
            <w:vAlign w:val="center"/>
          </w:tcPr>
          <w:p>
            <w:pPr>
              <w:jc w:val="left"/>
            </w:pPr>
            <w:r>
              <w:rPr>
                <w:rFonts w:ascii="Times New Roman" w:hAnsi="Times New Roman" w:eastAsia="宋体"/>
                <w:b w:val="0"/>
                <w:sz w:val="19"/>
              </w:rPr>
              <w:t>1.000000</w:t>
            </w:r>
          </w:p>
        </w:tc>
        <w:tc>
          <w:tcPr>
            <w:tcW w:type="dxa" w:w="2358"/>
            <w:vAlign w:val="center"/>
          </w:tcPr>
          <w:p>
            <w:pPr>
              <w:jc w:val="left"/>
            </w:pPr>
            <w:r>
              <w:rPr>
                <w:rFonts w:ascii="Times New Roman" w:hAnsi="Times New Roman" w:eastAsia="宋体"/>
                <w:b w:val="0"/>
                <w:sz w:val="19"/>
              </w:rPr>
              <w:t>0.996478</w:t>
            </w:r>
          </w:p>
        </w:tc>
        <w:tc>
          <w:tcPr>
            <w:tcW w:type="dxa" w:w="2358"/>
            <w:vAlign w:val="center"/>
          </w:tcPr>
          <w:p>
            <w:pPr>
              <w:jc w:val="left"/>
            </w:pPr>
            <w:r>
              <w:rPr>
                <w:rFonts w:ascii="Times New Roman" w:hAnsi="Times New Roman" w:eastAsia="宋体"/>
                <w:b w:val="0"/>
                <w:sz w:val="19"/>
              </w:rPr>
              <w:t>0.003522</w:t>
            </w:r>
          </w:p>
        </w:tc>
      </w:tr>
    </w:tbl>
    <w:p>
      <w:pPr>
        <w:ind w:firstLine="420"/>
      </w:pPr>
      <w:r>
        <w:rPr>
          <w:rFonts w:ascii="Times New Roman" w:hAnsi="Times New Roman" w:eastAsia="宋体"/>
          <w:sz w:val="21"/>
        </w:rPr>
        <w:t>在 0—300 s 的本算例中，龙头速度始终为 1,m/s，全部节点速度范围为 0.996478—1.000000 m/s。逐时刻检查表明，当前数据中速度大小由龙头向龙尾没有出现反向增大的节点；但这一现象是当前螺距、当前盘入区间和当前几何姿态共同产生的计算结果，不是刚杆速度公式本身保证的一般单调定理。</w:t>
      </w:r>
    </w:p>
    <w:p>
      <w:pPr>
        <w:ind w:firstLine="420"/>
      </w:pPr>
      <w:r>
        <w:rPr>
          <w:rFonts w:ascii="Times New Roman" w:hAnsi="Times New Roman" w:eastAsia="宋体"/>
          <w:sz w:val="21"/>
        </w:rPr>
        <w:t>随着盘入加深，龙头和龙尾的速度差由约 6.89×10⁻⁴,m/s 增大到约 3.522×10⁻³,m/s。其原因不是人为设置了衰减率，而是螺线内外不同位置的切向方向与刚杆轴向之间的投影关系不断改变。完整速度表见 tables/result1.xlsx，论文抽样表见 tables/论文抽样速度表.md。</w:t>
      </w:r>
    </w:p>
    <w:p>
      <w:pPr>
        <w:pStyle w:val="Heading2"/>
      </w:pPr>
      <w:r>
        <w:t>5.3 本问的直接结论</w:t>
      </w:r>
    </w:p>
    <w:p>
      <w:pPr>
        <w:ind w:firstLine="420"/>
      </w:pPr>
      <w:r>
        <w:rPr>
          <w:rFonts w:ascii="Times New Roman" w:hAnsi="Times New Roman" w:eastAsia="宋体"/>
          <w:sz w:val="21"/>
        </w:rPr>
        <w:t>在给定螺线和 0—300 s 计算区间内，公共几何递推可以连续生成全队位置；刚杆约束速度递推给出的各节点速度与位置变化相容。题目要求的全部位置和速度数据已经形成表格，其中龙头按题意保持 1,m/s，龙尾后把手在 300 s 时速度约为 0.996478,m/s。</w:t>
      </w:r>
    </w:p>
    <w:p>
      <w:pPr>
        <w:pStyle w:val="Heading1"/>
      </w:pPr>
      <w:r>
        <w:t>6. 模型检验、局限和下一问接口</w:t>
      </w:r>
    </w:p>
    <w:p>
      <w:pPr>
        <w:pStyle w:val="Heading2"/>
      </w:pPr>
      <w:r>
        <w:t>6.1 核心验证结果</w:t>
      </w:r>
    </w:p>
    <w:tbl>
      <w:tblPr>
        <w:tblStyle w:val="TableGrid"/>
        <w:tblW w:type="auto" w:w="0"/>
        <w:tblLook w:firstColumn="1" w:firstRow="1" w:lastColumn="0" w:lastRow="0" w:noHBand="0" w:noVBand="1" w:val="04A0"/>
      </w:tblPr>
      <w:tblGrid>
        <w:gridCol w:w="3145"/>
        <w:gridCol w:w="3145"/>
        <w:gridCol w:w="3145"/>
      </w:tblGrid>
      <w:tr>
        <w:tc>
          <w:tcPr>
            <w:tcW w:type="dxa" w:w="3145"/>
            <w:vAlign w:val="center"/>
          </w:tcPr>
          <w:p>
            <w:pPr>
              <w:jc w:val="center"/>
              <w:shd w:fill="DCE6F1"/>
            </w:pPr>
            <w:r>
              <w:rPr>
                <w:rFonts w:ascii="Times New Roman" w:hAnsi="Times New Roman" w:eastAsia="宋体"/>
                <w:b/>
                <w:sz w:val="19"/>
              </w:rPr>
              <w:t>检查项</w:t>
            </w:r>
          </w:p>
        </w:tc>
        <w:tc>
          <w:tcPr>
            <w:tcW w:type="dxa" w:w="3145"/>
            <w:vAlign w:val="center"/>
          </w:tcPr>
          <w:p>
            <w:pPr>
              <w:jc w:val="center"/>
              <w:shd w:fill="DCE6F1"/>
            </w:pPr>
            <w:r>
              <w:rPr>
                <w:rFonts w:ascii="Times New Roman" w:hAnsi="Times New Roman" w:eastAsia="宋体"/>
                <w:b/>
                <w:sz w:val="19"/>
              </w:rPr>
              <w:t>结果</w:t>
            </w:r>
          </w:p>
        </w:tc>
        <w:tc>
          <w:tcPr>
            <w:tcW w:type="dxa" w:w="3145"/>
            <w:vAlign w:val="center"/>
          </w:tcPr>
          <w:p>
            <w:pPr>
              <w:jc w:val="center"/>
              <w:shd w:fill="DCE6F1"/>
            </w:pPr>
            <w:r>
              <w:rPr>
                <w:rFonts w:ascii="Times New Roman" w:hAnsi="Times New Roman" w:eastAsia="宋体"/>
                <w:b/>
                <w:sz w:val="19"/>
              </w:rPr>
              <w:t>说明</w:t>
            </w:r>
          </w:p>
        </w:tc>
      </w:tr>
      <w:tr>
        <w:tc>
          <w:tcPr>
            <w:tcW w:type="dxa" w:w="3145"/>
            <w:vAlign w:val="center"/>
          </w:tcPr>
          <w:p>
            <w:pPr>
              <w:jc w:val="left"/>
            </w:pPr>
            <w:r>
              <w:rPr>
                <w:rFonts w:ascii="Times New Roman" w:hAnsi="Times New Roman" w:eastAsia="宋体"/>
                <w:b w:val="0"/>
                <w:sz w:val="19"/>
              </w:rPr>
              <w:t>最大相邻杆长残差</w:t>
            </w:r>
          </w:p>
        </w:tc>
        <w:tc>
          <w:tcPr>
            <w:tcW w:type="dxa" w:w="3145"/>
            <w:vAlign w:val="center"/>
          </w:tcPr>
          <w:p>
            <w:pPr>
              <w:jc w:val="left"/>
            </w:pPr>
            <w:r>
              <w:rPr>
                <w:rFonts w:ascii="Times New Roman" w:hAnsi="Times New Roman" w:eastAsia="宋体"/>
                <w:b w:val="0"/>
                <w:sz w:val="19"/>
              </w:rPr>
              <w:t>5.3655×10⁻¹² m</w:t>
            </w:r>
          </w:p>
        </w:tc>
        <w:tc>
          <w:tcPr>
            <w:tcW w:type="dxa" w:w="3145"/>
            <w:vAlign w:val="center"/>
          </w:tcPr>
          <w:p>
            <w:pPr>
              <w:jc w:val="left"/>
            </w:pPr>
            <w:r>
              <w:rPr>
                <w:rFonts w:ascii="Times New Roman" w:hAnsi="Times New Roman" w:eastAsia="宋体"/>
                <w:b w:val="0"/>
                <w:sz w:val="19"/>
              </w:rPr>
              <w:t>位置递推满足定长约束</w:t>
            </w:r>
          </w:p>
        </w:tc>
      </w:tr>
      <w:tr>
        <w:tc>
          <w:tcPr>
            <w:tcW w:type="dxa" w:w="3145"/>
            <w:vAlign w:val="center"/>
          </w:tcPr>
          <w:p>
            <w:pPr>
              <w:jc w:val="left"/>
            </w:pPr>
            <w:r>
              <w:rPr>
                <w:rFonts w:ascii="Times New Roman" w:hAnsi="Times New Roman" w:eastAsia="宋体"/>
                <w:b w:val="0"/>
                <w:sz w:val="19"/>
              </w:rPr>
              <w:t>最大速度约束残差</w:t>
            </w:r>
          </w:p>
        </w:tc>
        <w:tc>
          <w:tcPr>
            <w:tcW w:type="dxa" w:w="3145"/>
            <w:vAlign w:val="center"/>
          </w:tcPr>
          <w:p>
            <w:pPr>
              <w:jc w:val="left"/>
            </w:pPr>
            <w:r>
              <w:rPr>
                <w:rFonts w:ascii="Times New Roman" w:hAnsi="Times New Roman" w:eastAsia="宋体"/>
                <w:b w:val="0"/>
                <w:sz w:val="19"/>
              </w:rPr>
              <w:t>8.0491×10⁻¹⁶</w:t>
            </w:r>
          </w:p>
        </w:tc>
        <w:tc>
          <w:tcPr>
            <w:tcW w:type="dxa" w:w="3145"/>
            <w:vAlign w:val="center"/>
          </w:tcPr>
          <w:p>
            <w:pPr>
              <w:jc w:val="left"/>
            </w:pPr>
            <w:r>
              <w:rPr>
                <w:rFonts w:ascii="Times New Roman" w:hAnsi="Times New Roman" w:eastAsia="宋体"/>
                <w:b w:val="0"/>
                <w:sz w:val="19"/>
              </w:rPr>
              <w:t>速度递推满足刚杆微分约束</w:t>
            </w:r>
          </w:p>
        </w:tc>
      </w:tr>
      <w:tr>
        <w:tc>
          <w:tcPr>
            <w:tcW w:type="dxa" w:w="3145"/>
            <w:vAlign w:val="center"/>
          </w:tcPr>
          <w:p>
            <w:pPr>
              <w:jc w:val="left"/>
            </w:pPr>
            <w:r>
              <w:rPr>
                <w:rFonts w:ascii="Times New Roman" w:hAnsi="Times New Roman" w:eastAsia="宋体"/>
                <w:b w:val="0"/>
                <w:sz w:val="19"/>
              </w:rPr>
              <w:t>中心差分最大速度误差</w:t>
            </w:r>
          </w:p>
        </w:tc>
        <w:tc>
          <w:tcPr>
            <w:tcW w:type="dxa" w:w="3145"/>
            <w:vAlign w:val="center"/>
          </w:tcPr>
          <w:p>
            <w:pPr>
              <w:jc w:val="left"/>
            </w:pPr>
            <w:r>
              <w:rPr>
                <w:rFonts w:ascii="Times New Roman" w:hAnsi="Times New Roman" w:eastAsia="宋体"/>
                <w:b w:val="0"/>
                <w:sz w:val="19"/>
              </w:rPr>
              <w:t>7.0436×10⁻⁹ m/s</w:t>
            </w:r>
          </w:p>
        </w:tc>
        <w:tc>
          <w:tcPr>
            <w:tcW w:type="dxa" w:w="3145"/>
            <w:vAlign w:val="center"/>
          </w:tcPr>
          <w:p>
            <w:pPr>
              <w:jc w:val="left"/>
            </w:pPr>
            <w:r>
              <w:rPr>
                <w:rFonts w:ascii="Times New Roman" w:hAnsi="Times New Roman" w:eastAsia="宋体"/>
                <w:b w:val="0"/>
                <w:sz w:val="19"/>
              </w:rPr>
              <w:t>独立位置差分与解析速度一致</w:t>
            </w:r>
          </w:p>
        </w:tc>
      </w:tr>
      <w:tr>
        <w:tc>
          <w:tcPr>
            <w:tcW w:type="dxa" w:w="3145"/>
            <w:vAlign w:val="center"/>
          </w:tcPr>
          <w:p>
            <w:pPr>
              <w:jc w:val="left"/>
            </w:pPr>
            <w:r>
              <w:rPr>
                <w:rFonts w:ascii="Times New Roman" w:hAnsi="Times New Roman" w:eastAsia="宋体"/>
                <w:b w:val="0"/>
                <w:sz w:val="19"/>
              </w:rPr>
              <w:t>最小速度递推分母绝对值</w:t>
            </w:r>
          </w:p>
        </w:tc>
        <w:tc>
          <w:tcPr>
            <w:tcW w:type="dxa" w:w="3145"/>
            <w:vAlign w:val="center"/>
          </w:tcPr>
          <w:p>
            <w:pPr>
              <w:jc w:val="left"/>
            </w:pPr>
            <w:r>
              <w:rPr>
                <w:rFonts w:ascii="Times New Roman" w:hAnsi="Times New Roman" w:eastAsia="宋体"/>
                <w:b w:val="0"/>
                <w:sz w:val="19"/>
              </w:rPr>
              <w:t>1.627932 m</w:t>
            </w:r>
          </w:p>
        </w:tc>
        <w:tc>
          <w:tcPr>
            <w:tcW w:type="dxa" w:w="3145"/>
            <w:vAlign w:val="center"/>
          </w:tcPr>
          <w:p>
            <w:pPr>
              <w:jc w:val="left"/>
            </w:pPr>
            <w:r>
              <w:rPr>
                <w:rFonts w:ascii="Times New Roman" w:hAnsi="Times New Roman" w:eastAsia="宋体"/>
                <w:b w:val="0"/>
                <w:sz w:val="19"/>
              </w:rPr>
              <w:t>当前区间未接近奇异状态</w:t>
            </w:r>
          </w:p>
        </w:tc>
      </w:tr>
      <w:tr>
        <w:tc>
          <w:tcPr>
            <w:tcW w:type="dxa" w:w="3145"/>
            <w:vAlign w:val="center"/>
          </w:tcPr>
          <w:p>
            <w:pPr>
              <w:jc w:val="left"/>
            </w:pPr>
            <w:r>
              <w:rPr>
                <w:rFonts w:ascii="Times New Roman" w:hAnsi="Times New Roman" w:eastAsia="宋体"/>
                <w:b w:val="0"/>
                <w:sz w:val="19"/>
              </w:rPr>
              <w:t>结果规模</w:t>
            </w:r>
          </w:p>
        </w:tc>
        <w:tc>
          <w:tcPr>
            <w:tcW w:type="dxa" w:w="3145"/>
            <w:vAlign w:val="center"/>
          </w:tcPr>
          <w:p>
            <w:pPr>
              <w:jc w:val="left"/>
            </w:pPr>
            <w:r>
              <w:rPr>
                <w:rFonts w:ascii="Times New Roman" w:hAnsi="Times New Roman" w:eastAsia="宋体"/>
                <w:b w:val="0"/>
                <w:sz w:val="19"/>
              </w:rPr>
              <w:t>301 个时刻、224 个节点</w:t>
            </w:r>
          </w:p>
        </w:tc>
        <w:tc>
          <w:tcPr>
            <w:tcW w:type="dxa" w:w="3145"/>
            <w:vAlign w:val="center"/>
          </w:tcPr>
          <w:p>
            <w:pPr>
              <w:jc w:val="left"/>
            </w:pPr>
            <w:r>
              <w:rPr>
                <w:rFonts w:ascii="Times New Roman" w:hAnsi="Times New Roman" w:eastAsia="宋体"/>
                <w:b w:val="0"/>
                <w:sz w:val="19"/>
              </w:rPr>
              <w:t>与题目输出范围一致</w:t>
            </w:r>
          </w:p>
        </w:tc>
      </w:tr>
    </w:tbl>
    <w:p>
      <w:pPr>
        <w:ind w:firstLine="420"/>
      </w:pPr>
      <w:r>
        <w:rPr>
          <w:rFonts w:ascii="Times New Roman" w:hAnsi="Times New Roman" w:eastAsia="宋体"/>
          <w:sz w:val="21"/>
        </w:rPr>
        <w:t>详细验证与公式审查分别见：</w:t>
      </w:r>
    </w:p>
    <w:p>
      <w:pPr>
        <w:pStyle w:val="ListBullet"/>
      </w:pPr>
      <w:r>
        <w:rPr>
          <w:rFonts w:ascii="Times New Roman" w:hAnsi="Times New Roman" w:eastAsia="宋体"/>
          <w:sz w:val="21"/>
        </w:rPr>
        <w:t>tables/Q1_验证结果.md；</w:t>
      </w:r>
    </w:p>
    <w:p>
      <w:pPr>
        <w:pStyle w:val="ListBullet"/>
      </w:pPr>
      <w:r>
        <w:rPr>
          <w:rFonts w:ascii="Times New Roman" w:hAnsi="Times New Roman" w:eastAsia="宋体"/>
          <w:sz w:val="21"/>
        </w:rPr>
        <w:t>tables/Q1_速度公式统一审查.md；</w:t>
      </w:r>
    </w:p>
    <w:p>
      <w:pPr>
        <w:pStyle w:val="ListBullet"/>
      </w:pPr>
      <w:r>
        <w:rPr>
          <w:rFonts w:ascii="Times New Roman" w:hAnsi="Times New Roman" w:eastAsia="宋体"/>
          <w:sz w:val="21"/>
        </w:rPr>
        <w:t>复现入口：../../01-shared/code/q1full.py。</w:t>
      </w:r>
    </w:p>
    <w:p>
      <w:pPr>
        <w:pStyle w:val="Heading2"/>
      </w:pPr>
      <w:r>
        <w:t>6.2 模型边界</w:t>
      </w:r>
    </w:p>
    <w:p>
      <w:pPr>
        <w:ind w:firstLine="420"/>
      </w:pPr>
      <w:r>
        <w:rPr>
          <w:rFonts w:ascii="Times New Roman" w:hAnsi="Times New Roman" w:eastAsia="宋体"/>
          <w:sz w:val="21"/>
        </w:rPr>
        <w:t>1. 继承公共模型的二维刚体、理想铰接和连续轨迹假设；</w:t>
      </w:r>
    </w:p>
    <w:p>
      <w:pPr>
        <w:ind w:firstLine="420"/>
      </w:pPr>
      <w:r>
        <w:rPr>
          <w:rFonts w:ascii="Times New Roman" w:hAnsi="Times New Roman" w:eastAsia="宋体"/>
          <w:sz w:val="21"/>
        </w:rPr>
        <w:t>2. 龙头速度 U(t)=1,m/s 按题面保持不变；</w:t>
      </w:r>
    </w:p>
    <w:p>
      <w:pPr>
        <w:ind w:firstLine="420"/>
      </w:pPr>
      <w:r>
        <w:rPr>
          <w:rFonts w:ascii="Times New Roman" w:hAnsi="Times New Roman" w:eastAsia="宋体"/>
          <w:sz w:val="21"/>
        </w:rPr>
        <w:t>3. 当前速度沿龙身不增只是本算例的运行结果，不能替代对其他轨迹和时刻的重新计算；</w:t>
      </w:r>
    </w:p>
    <w:p>
      <w:pPr>
        <w:ind w:firstLine="420"/>
      </w:pPr>
      <w:r>
        <w:rPr>
          <w:rFonts w:ascii="Times New Roman" w:hAnsi="Times New Roman" w:eastAsia="宋体"/>
          <w:sz w:val="21"/>
        </w:rPr>
        <w:t>4. 若轨迹切向不连续、节点求交失败或速度递推分母接近零，模型必须停止并报告奇异状态；</w:t>
      </w:r>
    </w:p>
    <w:p>
      <w:pPr>
        <w:ind w:firstLine="420"/>
      </w:pPr>
      <w:r>
        <w:rPr>
          <w:rFonts w:ascii="Times New Roman" w:hAnsi="Times New Roman" w:eastAsia="宋体"/>
          <w:sz w:val="21"/>
        </w:rPr>
        <w:t>5. 本问不判断实体板凳是否碰撞，因此位置和速度连续并不等于整个盘入过程安全。</w:t>
      </w:r>
    </w:p>
    <w:p>
      <w:pPr>
        <w:pStyle w:val="Heading2"/>
      </w:pPr>
      <w:r>
        <w:t>6.3 传递给问题2的接口</w:t>
      </w:r>
    </w:p>
    <w:p>
      <w:pPr>
        <w:ind w:firstLine="420"/>
      </w:pPr>
      <w:r>
        <w:rPr>
          <w:rFonts w:ascii="Times New Roman" w:hAnsi="Times New Roman" w:eastAsia="宋体"/>
          <w:sz w:val="21"/>
        </w:rPr>
        <w:t>问题2直接接收每个时刻的节点位置 Pᵢ(t) 和公共模型恢复的实体矩形 Rᵢ(t)，再执行拓扑排除、外接圆初筛和 SAT 精判。问题1的速度结果用于把碰撞发生的轨迹位置转换为时间，但碰撞判据本身不在本问中提前求解。</w:t>
      </w:r>
    </w:p>
    <w:p>
      <w:pPr>
        <w:jc w:val="center"/>
      </w:pPr>
      <w:r>
        <w:t>附图：刚杆约束下的相邻节点速度关联</w:t>
      </w:r>
      <w:r>
        <w:rPr>
          <w:rFonts w:ascii="Times New Roman" w:hAnsi="Times New Roman" w:eastAsia="黑体"/>
          <w:b/>
          <w:sz w:val="30"/>
        </w:rPr>
      </w:r>
    </w:p>
    <w:p>
      <w:pPr>
        <w:jc w:val="center"/>
      </w:pPr>
      <w:r>
        <w:drawing>
          <wp:inline xmlns:a="http://schemas.openxmlformats.org/drawingml/2006/main" xmlns:pic="http://schemas.openxmlformats.org/drawingml/2006/picture">
            <wp:extent cx="5166360" cy="4141217"/>
            <wp:docPr id="13" name="Picture 13"/>
            <wp:cNvGraphicFramePr>
              <a:graphicFrameLocks noChangeAspect="1"/>
            </wp:cNvGraphicFramePr>
            <a:graphic>
              <a:graphicData uri="http://schemas.openxmlformats.org/drawingml/2006/picture">
                <pic:pic>
                  <pic:nvPicPr>
                    <pic:cNvPr id="0" name="图1_刚杆约束速度关联.png"/>
                    <pic:cNvPicPr/>
                  </pic:nvPicPr>
                  <pic:blipFill>
                    <a:blip r:embed="rId22"/>
                    <a:stretch>
                      <a:fillRect/>
                    </a:stretch>
                  </pic:blipFill>
                  <pic:spPr>
                    <a:xfrm>
                      <a:off x="0" y="0"/>
                      <a:ext cx="5166360" cy="4141217"/>
                    </a:xfrm>
                    <a:prstGeom prst="rect"/>
                  </pic:spPr>
                </pic:pic>
              </a:graphicData>
            </a:graphic>
          </wp:inline>
        </w:drawing>
      </w:r>
    </w:p>
    <w:p>
      <w:pPr>
        <w:jc w:val="center"/>
      </w:pPr>
      <w:r>
        <w:t>图1  相邻节点切向速度与定长刚杆投影关系</w:t>
      </w:r>
      <w:r>
        <w:rPr>
          <w:rFonts w:ascii="Times New Roman" w:hAnsi="Times New Roman" w:eastAsia="宋体"/>
          <w:sz w:val="19"/>
        </w:rPr>
      </w:r>
    </w:p>
    <w:sectPr w:rsidR="00FC693F" w:rsidRPr="0006063C" w:rsidSect="00034616">
      <w:footerReference w:type="default" r:id="rId9"/>
      <w:pgSz w:w="12240" w:h="15840"/>
      <w:pgMar w:top="1332" w:right="1332"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问题1：螺线位置与速度模型｜论文手审阅版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问题1：螺线位置与速度模型及结果</dc:title>
  <dc:subject>刚杆约束速度递推与问题1全量结果</dc:subject>
  <dc:creator>数学建模项目组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