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40"/>
        </w:rPr>
        <w:t>问题2：板凳碰撞模型与首次碰撞时间</w:t>
      </w:r>
    </w:p>
    <w:p>
      <w:pPr>
        <w:jc w:val="center"/>
      </w:pPr>
      <w:r>
        <w:t>问题2阶段交付｜2024年高教社杯A题“板凳龙”</w:t>
      </w:r>
      <w:r>
        <w:rPr>
          <w:rFonts w:ascii="Times New Roman" w:hAnsi="Times New Roman" w:eastAsia="宋体"/>
          <w:sz w:val="20"/>
        </w:rPr>
      </w:r>
    </w:p>
    <w:p>
      <w:pPr>
        <w:pStyle w:val="Heading1"/>
      </w:pPr>
      <w:r>
        <w:t>1. 本问目标</w:t>
      </w:r>
    </w:p>
    <w:p>
      <w:pPr>
        <w:ind w:firstLine="420"/>
      </w:pPr>
      <w:r>
        <w:rPr>
          <w:rFonts w:ascii="Times New Roman" w:hAnsi="Times New Roman" w:eastAsia="宋体"/>
          <w:sz w:val="21"/>
        </w:rPr>
        <w:t>问题2要回答的是：沿问题1给定的盘入螺线运动时，223块实体板凳什么时候第一次达到不允许的接触或重叠状态，以及临界时刻对应哪些非相邻板凳。</w:t>
      </w:r>
    </w:p>
    <w:p>
      <w:pPr>
        <w:ind w:firstLine="420"/>
      </w:pPr>
      <w:r>
        <w:rPr>
          <w:rFonts w:ascii="Times New Roman" w:hAnsi="Times New Roman" w:eastAsia="宋体"/>
          <w:sz w:val="21"/>
        </w:rPr>
        <w:t>本问的计算对象不是把手中心线，而是由相邻把手中心恢复出的实体有向矩形。输入、输出和完成口径如下：</w:t>
      </w:r>
    </w:p>
    <w:tbl>
      <w:tblPr>
        <w:tblStyle w:val="TableGrid"/>
        <w:tblW w:type="auto" w:w="0"/>
        <w:tblLook w:firstColumn="1" w:firstRow="1" w:lastColumn="0" w:lastRow="0" w:noHBand="0" w:noVBand="1" w:val="04A0"/>
      </w:tblPr>
      <w:tblGrid>
        <w:gridCol w:w="4717"/>
        <w:gridCol w:w="4717"/>
      </w:tblGrid>
      <w:tr>
        <w:tc>
          <w:tcPr>
            <w:tcW w:type="dxa" w:w="4717"/>
            <w:vAlign w:val="center"/>
          </w:tcPr>
          <w:p>
            <w:pPr>
              <w:jc w:val="center"/>
              <w:shd w:fill="DCE6F1"/>
            </w:pPr>
            <w:r>
              <w:rPr>
                <w:rFonts w:ascii="Times New Roman" w:hAnsi="Times New Roman" w:eastAsia="宋体"/>
                <w:b/>
                <w:sz w:val="19"/>
              </w:rPr>
              <w:t>类型</w:t>
            </w:r>
          </w:p>
        </w:tc>
        <w:tc>
          <w:tcPr>
            <w:tcW w:type="dxa" w:w="4717"/>
            <w:vAlign w:val="center"/>
          </w:tcPr>
          <w:p>
            <w:pPr>
              <w:jc w:val="center"/>
              <w:shd w:fill="DCE6F1"/>
            </w:pPr>
            <w:r>
              <w:rPr>
                <w:rFonts w:ascii="Times New Roman" w:hAnsi="Times New Roman" w:eastAsia="宋体"/>
                <w:b/>
                <w:sz w:val="19"/>
              </w:rPr>
              <w:t>本问内容</w:t>
            </w:r>
          </w:p>
        </w:tc>
      </w:tr>
      <w:tr>
        <w:tc>
          <w:tcPr>
            <w:tcW w:type="dxa" w:w="4717"/>
            <w:vAlign w:val="center"/>
          </w:tcPr>
          <w:p>
            <w:pPr>
              <w:jc w:val="left"/>
            </w:pPr>
            <w:r>
              <w:rPr>
                <w:rFonts w:ascii="Times New Roman" w:hAnsi="Times New Roman" w:eastAsia="宋体"/>
                <w:b w:val="0"/>
                <w:sz w:val="19"/>
              </w:rPr>
              <w:t>已知输入</w:t>
            </w:r>
          </w:p>
        </w:tc>
        <w:tc>
          <w:tcPr>
            <w:tcW w:type="dxa" w:w="4717"/>
            <w:vAlign w:val="center"/>
          </w:tcPr>
          <w:p>
            <w:pPr>
              <w:jc w:val="left"/>
            </w:pPr>
            <w:r>
              <w:rPr>
                <w:rFonts w:ascii="Times New Roman" w:hAnsi="Times New Roman" w:eastAsia="宋体"/>
                <w:b w:val="0"/>
                <w:sz w:val="19"/>
              </w:rPr>
              <w:t>问题1的时间—位置接口、224个把手中心、223块板凳的长度与宽度</w:t>
            </w:r>
          </w:p>
        </w:tc>
      </w:tr>
      <w:tr>
        <w:tc>
          <w:tcPr>
            <w:tcW w:type="dxa" w:w="4717"/>
            <w:vAlign w:val="center"/>
          </w:tcPr>
          <w:p>
            <w:pPr>
              <w:jc w:val="left"/>
            </w:pPr>
            <w:r>
              <w:rPr>
                <w:rFonts w:ascii="Times New Roman" w:hAnsi="Times New Roman" w:eastAsia="宋体"/>
                <w:b w:val="0"/>
                <w:sz w:val="19"/>
              </w:rPr>
              <w:t>碰撞对象</w:t>
            </w:r>
          </w:p>
        </w:tc>
        <w:tc>
          <w:tcPr>
            <w:tcW w:type="dxa" w:w="4717"/>
            <w:vAlign w:val="center"/>
          </w:tcPr>
          <w:p>
            <w:pPr>
              <w:jc w:val="left"/>
            </w:pPr>
            <w:r>
              <w:rPr>
                <w:rFonts w:ascii="Times New Roman" w:hAnsi="Times New Roman" w:eastAsia="宋体"/>
                <w:b w:val="0"/>
                <w:sz w:val="19"/>
              </w:rPr>
              <w:t>由相邻把手中心确定的223个二维有向矩形</w:t>
            </w:r>
          </w:p>
        </w:tc>
      </w:tr>
      <w:tr>
        <w:tc>
          <w:tcPr>
            <w:tcW w:type="dxa" w:w="4717"/>
            <w:vAlign w:val="center"/>
          </w:tcPr>
          <w:p>
            <w:pPr>
              <w:jc w:val="left"/>
            </w:pPr>
            <w:r>
              <w:rPr>
                <w:rFonts w:ascii="Times New Roman" w:hAnsi="Times New Roman" w:eastAsia="宋体"/>
                <w:b w:val="0"/>
                <w:sz w:val="19"/>
              </w:rPr>
              <w:t>直接输出</w:t>
            </w:r>
          </w:p>
        </w:tc>
        <w:tc>
          <w:tcPr>
            <w:tcW w:type="dxa" w:w="4717"/>
            <w:vAlign w:val="center"/>
          </w:tcPr>
          <w:p>
            <w:pPr>
              <w:jc w:val="left"/>
            </w:pPr>
            <w:r>
              <w:rPr>
                <w:rFonts w:ascii="Times New Roman" w:hAnsi="Times New Roman" w:eastAsia="宋体"/>
                <w:b w:val="0"/>
                <w:sz w:val="19"/>
              </w:rPr>
              <w:t>每个时刻的全局安全裕度、碰撞标志、候选板对和筛选统计</w:t>
            </w:r>
          </w:p>
        </w:tc>
      </w:tr>
      <w:tr>
        <w:tc>
          <w:tcPr>
            <w:tcW w:type="dxa" w:w="4717"/>
            <w:vAlign w:val="center"/>
          </w:tcPr>
          <w:p>
            <w:pPr>
              <w:jc w:val="left"/>
            </w:pPr>
            <w:r>
              <w:rPr>
                <w:rFonts w:ascii="Times New Roman" w:hAnsi="Times New Roman" w:eastAsia="宋体"/>
                <w:b w:val="0"/>
                <w:sz w:val="19"/>
              </w:rPr>
              <w:t>论文输出</w:t>
            </w:r>
          </w:p>
        </w:tc>
        <w:tc>
          <w:tcPr>
            <w:tcW w:type="dxa" w:w="4717"/>
            <w:vAlign w:val="center"/>
          </w:tcPr>
          <w:p>
            <w:pPr>
              <w:jc w:val="left"/>
            </w:pPr>
            <w:r>
              <w:rPr>
                <w:rFonts w:ascii="Times New Roman" w:hAnsi="Times New Roman" w:eastAsia="宋体"/>
                <w:b w:val="0"/>
                <w:sz w:val="19"/>
              </w:rPr>
              <w:t>首次碰撞区间、首次临界时间、代表性候选板对和谨慎的系统级结论</w:t>
            </w:r>
          </w:p>
        </w:tc>
      </w:tr>
      <w:tr>
        <w:tc>
          <w:tcPr>
            <w:tcW w:type="dxa" w:w="4717"/>
            <w:vAlign w:val="center"/>
          </w:tcPr>
          <w:p>
            <w:pPr>
              <w:jc w:val="left"/>
            </w:pPr>
            <w:r>
              <w:rPr>
                <w:rFonts w:ascii="Times New Roman" w:hAnsi="Times New Roman" w:eastAsia="宋体"/>
                <w:b w:val="0"/>
                <w:sz w:val="19"/>
              </w:rPr>
              <w:t>完成标准</w:t>
            </w:r>
          </w:p>
        </w:tc>
        <w:tc>
          <w:tcPr>
            <w:tcW w:type="dxa" w:w="4717"/>
            <w:vAlign w:val="center"/>
          </w:tcPr>
          <w:p>
            <w:pPr>
              <w:jc w:val="left"/>
            </w:pPr>
            <w:r>
              <w:rPr>
                <w:rFonts w:ascii="Times New Roman" w:hAnsi="Times New Roman" w:eastAsia="宋体"/>
                <w:b w:val="0"/>
                <w:sz w:val="19"/>
              </w:rPr>
              <w:t>拓扑排除、外接圆初筛、SAT精判均有运行证据；首次时间经过扫描、精化和独立复核</w:t>
            </w:r>
          </w:p>
        </w:tc>
      </w:tr>
    </w:tbl>
    <w:p>
      <w:pPr>
        <w:ind w:firstLine="420"/>
      </w:pPr>
      <w:r>
        <w:rPr>
          <w:rFonts w:ascii="Times New Roman" w:hAnsi="Times New Roman" w:eastAsia="宋体"/>
          <w:sz w:val="21"/>
        </w:rPr>
        <w:t>完整结果、运行记录和验证证据均保存在当前交付文件夹内；本文引用的路径均相对于本文件夹书写。</w:t>
      </w:r>
    </w:p>
    <w:p>
      <w:pPr>
        <w:pStyle w:val="Heading1"/>
      </w:pPr>
      <w:r>
        <w:t>2. 继承与新增</w:t>
      </w:r>
    </w:p>
    <w:p>
      <w:pPr>
        <w:ind w:firstLine="420"/>
      </w:pPr>
      <w:r>
        <w:rPr>
          <w:rFonts w:ascii="Times New Roman" w:hAnsi="Times New Roman" w:eastAsia="宋体"/>
          <w:sz w:val="21"/>
        </w:rPr>
        <w:t>公共几何模型提供把手中心、相邻定长关系、板凳方向和实体矩形恢复接口；问题1提供给定时间下的全队位置和速度。问题2只在此基础上增加实体碰撞判据和首次时间搜索，不修改前两问的几何与速度结论。</w:t>
      </w:r>
    </w:p>
    <w:tbl>
      <w:tblPr>
        <w:tblStyle w:val="TableGrid"/>
        <w:tblW w:type="auto" w:w="0"/>
        <w:tblLook w:firstColumn="1" w:firstRow="1" w:lastColumn="0" w:lastRow="0" w:noHBand="0" w:noVBand="1" w:val="04A0"/>
      </w:tblPr>
      <w:tblGrid>
        <w:gridCol w:w="2358"/>
        <w:gridCol w:w="2358"/>
        <w:gridCol w:w="2358"/>
        <w:gridCol w:w="2358"/>
      </w:tblGrid>
      <w:tr>
        <w:tc>
          <w:tcPr>
            <w:tcW w:type="dxa" w:w="2358"/>
            <w:vAlign w:val="center"/>
          </w:tcPr>
          <w:p>
            <w:pPr>
              <w:jc w:val="center"/>
              <w:shd w:fill="DCE6F1"/>
            </w:pPr>
            <w:r>
              <w:rPr>
                <w:rFonts w:ascii="Times New Roman" w:hAnsi="Times New Roman" w:eastAsia="宋体"/>
                <w:b/>
                <w:sz w:val="19"/>
              </w:rPr>
              <w:t>层次</w:t>
            </w:r>
          </w:p>
        </w:tc>
        <w:tc>
          <w:tcPr>
            <w:tcW w:type="dxa" w:w="2358"/>
            <w:vAlign w:val="center"/>
          </w:tcPr>
          <w:p>
            <w:pPr>
              <w:jc w:val="center"/>
              <w:shd w:fill="DCE6F1"/>
            </w:pPr>
            <w:r>
              <w:rPr>
                <w:rFonts w:ascii="Times New Roman" w:hAnsi="Times New Roman" w:eastAsia="宋体"/>
                <w:b/>
                <w:sz w:val="19"/>
              </w:rPr>
              <w:t>继承或新增内容</w:t>
            </w:r>
          </w:p>
        </w:tc>
        <w:tc>
          <w:tcPr>
            <w:tcW w:type="dxa" w:w="2358"/>
            <w:vAlign w:val="center"/>
          </w:tcPr>
          <w:p>
            <w:pPr>
              <w:jc w:val="center"/>
              <w:shd w:fill="DCE6F1"/>
            </w:pPr>
            <w:r>
              <w:rPr>
                <w:rFonts w:ascii="Times New Roman" w:hAnsi="Times New Roman" w:eastAsia="宋体"/>
                <w:b/>
                <w:sz w:val="19"/>
              </w:rPr>
              <w:t>输入</w:t>
            </w:r>
          </w:p>
        </w:tc>
        <w:tc>
          <w:tcPr>
            <w:tcW w:type="dxa" w:w="2358"/>
            <w:vAlign w:val="center"/>
          </w:tcPr>
          <w:p>
            <w:pPr>
              <w:jc w:val="center"/>
              <w:shd w:fill="DCE6F1"/>
            </w:pPr>
            <w:r>
              <w:rPr>
                <w:rFonts w:ascii="Times New Roman" w:hAnsi="Times New Roman" w:eastAsia="宋体"/>
                <w:b/>
                <w:sz w:val="19"/>
              </w:rPr>
              <w:t>输出</w:t>
            </w:r>
          </w:p>
        </w:tc>
      </w:tr>
      <w:tr>
        <w:tc>
          <w:tcPr>
            <w:tcW w:type="dxa" w:w="2358"/>
            <w:vAlign w:val="center"/>
          </w:tcPr>
          <w:p>
            <w:pPr>
              <w:jc w:val="left"/>
            </w:pPr>
            <w:r>
              <w:rPr>
                <w:rFonts w:ascii="Times New Roman" w:hAnsi="Times New Roman" w:eastAsia="宋体"/>
                <w:b w:val="0"/>
                <w:sz w:val="19"/>
              </w:rPr>
              <w:t>公共几何</w:t>
            </w:r>
          </w:p>
        </w:tc>
        <w:tc>
          <w:tcPr>
            <w:tcW w:type="dxa" w:w="2358"/>
            <w:vAlign w:val="center"/>
          </w:tcPr>
          <w:p>
            <w:pPr>
              <w:jc w:val="left"/>
            </w:pPr>
            <w:r>
              <w:rPr>
                <w:rFonts w:ascii="Times New Roman" w:hAnsi="Times New Roman" w:eastAsia="宋体"/>
                <w:b w:val="0"/>
                <w:sz w:val="19"/>
              </w:rPr>
              <w:t>轨迹、定长圆求交、把手中心和板凳方向</w:t>
            </w:r>
          </w:p>
        </w:tc>
        <w:tc>
          <w:tcPr>
            <w:tcW w:type="dxa" w:w="2358"/>
            <w:vAlign w:val="center"/>
          </w:tcPr>
          <w:p>
            <w:pPr>
              <w:jc w:val="left"/>
            </w:pPr>
            <w:r>
              <w:rPr>
                <w:rFonts w:ascii="Times New Roman" w:hAnsi="Times New Roman" w:eastAsia="宋体"/>
                <w:b w:val="0"/>
                <w:sz w:val="19"/>
              </w:rPr>
              <w:t>龙头参数或时刻</w:t>
            </w:r>
          </w:p>
        </w:tc>
        <w:tc>
          <w:tcPr>
            <w:tcW w:type="dxa" w:w="2358"/>
            <w:vAlign w:val="center"/>
          </w:tcPr>
          <w:p>
            <w:pPr>
              <w:jc w:val="left"/>
            </w:pPr>
            <w:r>
              <w:rPr>
                <w:rFonts w:ascii="Times New Roman" w:hAnsi="Times New Roman" w:eastAsia="宋体"/>
                <w:b w:val="0"/>
                <w:sz w:val="19"/>
              </w:rPr>
              <w:t>(Pᵢ(t))、相邻节点方向</w:t>
            </w:r>
          </w:p>
        </w:tc>
      </w:tr>
      <w:tr>
        <w:tc>
          <w:tcPr>
            <w:tcW w:type="dxa" w:w="2358"/>
            <w:vAlign w:val="center"/>
          </w:tcPr>
          <w:p>
            <w:pPr>
              <w:jc w:val="left"/>
            </w:pPr>
            <w:r>
              <w:rPr>
                <w:rFonts w:ascii="Times New Roman" w:hAnsi="Times New Roman" w:eastAsia="宋体"/>
                <w:b w:val="0"/>
                <w:sz w:val="19"/>
              </w:rPr>
              <w:t>问题1接口</w:t>
            </w:r>
          </w:p>
        </w:tc>
        <w:tc>
          <w:tcPr>
            <w:tcW w:type="dxa" w:w="2358"/>
            <w:vAlign w:val="center"/>
          </w:tcPr>
          <w:p>
            <w:pPr>
              <w:jc w:val="left"/>
            </w:pPr>
            <w:r>
              <w:rPr>
                <w:rFonts w:ascii="Times New Roman" w:hAnsi="Times New Roman" w:eastAsia="宋体"/>
                <w:b w:val="0"/>
                <w:sz w:val="19"/>
              </w:rPr>
              <w:t>龙头弧长—时间关系和全队状态计算</w:t>
            </w:r>
          </w:p>
        </w:tc>
        <w:tc>
          <w:tcPr>
            <w:tcW w:type="dxa" w:w="2358"/>
            <w:vAlign w:val="center"/>
          </w:tcPr>
          <w:p>
            <w:pPr>
              <w:jc w:val="left"/>
            </w:pPr>
            <w:r>
              <w:rPr>
                <w:rFonts w:ascii="Times New Roman" w:hAnsi="Times New Roman" w:eastAsia="宋体"/>
                <w:b w:val="0"/>
                <w:sz w:val="19"/>
              </w:rPr>
              <w:t>(t)</w:t>
            </w:r>
          </w:p>
        </w:tc>
        <w:tc>
          <w:tcPr>
            <w:tcW w:type="dxa" w:w="2358"/>
            <w:vAlign w:val="center"/>
          </w:tcPr>
          <w:p>
            <w:pPr>
              <w:jc w:val="left"/>
            </w:pPr>
            <w:r>
              <w:rPr>
                <w:rFonts w:ascii="Times New Roman" w:hAnsi="Times New Roman" w:eastAsia="宋体"/>
                <w:b w:val="0"/>
                <w:sz w:val="19"/>
              </w:rPr>
              <w:t>224个把手中心及速度</w:t>
            </w:r>
          </w:p>
        </w:tc>
      </w:tr>
      <w:tr>
        <w:tc>
          <w:tcPr>
            <w:tcW w:type="dxa" w:w="2358"/>
            <w:vAlign w:val="center"/>
          </w:tcPr>
          <w:p>
            <w:pPr>
              <w:jc w:val="left"/>
            </w:pPr>
            <w:r>
              <w:rPr>
                <w:rFonts w:ascii="Times New Roman" w:hAnsi="Times New Roman" w:eastAsia="宋体"/>
                <w:b w:val="0"/>
                <w:sz w:val="19"/>
              </w:rPr>
              <w:t>本问新增一</w:t>
            </w:r>
          </w:p>
        </w:tc>
        <w:tc>
          <w:tcPr>
            <w:tcW w:type="dxa" w:w="2358"/>
            <w:vAlign w:val="center"/>
          </w:tcPr>
          <w:p>
            <w:pPr>
              <w:jc w:val="left"/>
            </w:pPr>
            <w:r>
              <w:rPr>
                <w:rFonts w:ascii="Times New Roman" w:hAnsi="Times New Roman" w:eastAsia="宋体"/>
                <w:b w:val="0"/>
                <w:sz w:val="19"/>
              </w:rPr>
              <w:t>实体有向矩形恢复</w:t>
            </w:r>
          </w:p>
        </w:tc>
        <w:tc>
          <w:tcPr>
            <w:tcW w:type="dxa" w:w="2358"/>
            <w:vAlign w:val="center"/>
          </w:tcPr>
          <w:p>
            <w:pPr>
              <w:jc w:val="left"/>
            </w:pPr>
            <w:r>
              <w:rPr>
                <w:rFonts w:ascii="Times New Roman" w:hAnsi="Times New Roman" w:eastAsia="宋体"/>
                <w:b w:val="0"/>
                <w:sz w:val="19"/>
              </w:rPr>
              <w:t>(Pᵢ₋₁,Pᵢ)、板长、板宽</w:t>
            </w:r>
          </w:p>
        </w:tc>
        <w:tc>
          <w:tcPr>
            <w:tcW w:type="dxa" w:w="2358"/>
            <w:vAlign w:val="center"/>
          </w:tcPr>
          <w:p>
            <w:pPr>
              <w:jc w:val="left"/>
            </w:pPr>
            <w:r>
              <w:rPr>
                <w:rFonts w:ascii="Times New Roman" w:hAnsi="Times New Roman" w:eastAsia="宋体"/>
                <w:b w:val="0"/>
                <w:sz w:val="19"/>
              </w:rPr>
              <w:t>(Rᵢ=(Cᵢ,εᵢ,nᵢ,aᵢ,hB))</w:t>
            </w:r>
          </w:p>
        </w:tc>
      </w:tr>
      <w:tr>
        <w:tc>
          <w:tcPr>
            <w:tcW w:type="dxa" w:w="2358"/>
            <w:vAlign w:val="center"/>
          </w:tcPr>
          <w:p>
            <w:pPr>
              <w:jc w:val="left"/>
            </w:pPr>
            <w:r>
              <w:rPr>
                <w:rFonts w:ascii="Times New Roman" w:hAnsi="Times New Roman" w:eastAsia="宋体"/>
                <w:b w:val="0"/>
                <w:sz w:val="19"/>
              </w:rPr>
              <w:t>本问新增二</w:t>
            </w:r>
          </w:p>
        </w:tc>
        <w:tc>
          <w:tcPr>
            <w:tcW w:type="dxa" w:w="2358"/>
            <w:vAlign w:val="center"/>
          </w:tcPr>
          <w:p>
            <w:pPr>
              <w:jc w:val="left"/>
            </w:pPr>
            <w:r>
              <w:rPr>
                <w:rFonts w:ascii="Times New Roman" w:hAnsi="Times New Roman" w:eastAsia="宋体"/>
                <w:b w:val="0"/>
                <w:sz w:val="19"/>
              </w:rPr>
              <w:t>拓扑排除与外接圆初筛</w:t>
            </w:r>
          </w:p>
        </w:tc>
        <w:tc>
          <w:tcPr>
            <w:tcW w:type="dxa" w:w="2358"/>
            <w:vAlign w:val="center"/>
          </w:tcPr>
          <w:p>
            <w:pPr>
              <w:jc w:val="left"/>
            </w:pPr>
            <w:r>
              <w:rPr>
                <w:rFonts w:ascii="Times New Roman" w:hAnsi="Times New Roman" w:eastAsia="宋体"/>
                <w:b w:val="0"/>
                <w:sz w:val="19"/>
              </w:rPr>
              <w:t>全部矩形</w:t>
            </w:r>
          </w:p>
        </w:tc>
        <w:tc>
          <w:tcPr>
            <w:tcW w:type="dxa" w:w="2358"/>
            <w:vAlign w:val="center"/>
          </w:tcPr>
          <w:p>
            <w:pPr>
              <w:jc w:val="left"/>
            </w:pPr>
            <w:r>
              <w:rPr>
                <w:rFonts w:ascii="Times New Roman" w:hAnsi="Times New Roman" w:eastAsia="宋体"/>
                <w:b w:val="0"/>
                <w:sz w:val="19"/>
              </w:rPr>
              <w:t>SAT候选板对</w:t>
            </w:r>
          </w:p>
        </w:tc>
      </w:tr>
      <w:tr>
        <w:tc>
          <w:tcPr>
            <w:tcW w:type="dxa" w:w="2358"/>
            <w:vAlign w:val="center"/>
          </w:tcPr>
          <w:p>
            <w:pPr>
              <w:jc w:val="left"/>
            </w:pPr>
            <w:r>
              <w:rPr>
                <w:rFonts w:ascii="Times New Roman" w:hAnsi="Times New Roman" w:eastAsia="宋体"/>
                <w:b w:val="0"/>
                <w:sz w:val="19"/>
              </w:rPr>
              <w:t>本问新增三</w:t>
            </w:r>
          </w:p>
        </w:tc>
        <w:tc>
          <w:tcPr>
            <w:tcW w:type="dxa" w:w="2358"/>
            <w:vAlign w:val="center"/>
          </w:tcPr>
          <w:p>
            <w:pPr>
              <w:jc w:val="left"/>
            </w:pPr>
            <w:r>
              <w:rPr>
                <w:rFonts w:ascii="Times New Roman" w:hAnsi="Times New Roman" w:eastAsia="宋体"/>
                <w:b w:val="0"/>
                <w:sz w:val="19"/>
              </w:rPr>
              <w:t>SAT精判与全局裕度</w:t>
            </w:r>
          </w:p>
        </w:tc>
        <w:tc>
          <w:tcPr>
            <w:tcW w:type="dxa" w:w="2358"/>
            <w:vAlign w:val="center"/>
          </w:tcPr>
          <w:p>
            <w:pPr>
              <w:jc w:val="left"/>
            </w:pPr>
            <w:r>
              <w:rPr>
                <w:rFonts w:ascii="Times New Roman" w:hAnsi="Times New Roman" w:eastAsia="宋体"/>
                <w:b w:val="0"/>
                <w:sz w:val="19"/>
              </w:rPr>
              <w:t>候选矩形对</w:t>
            </w:r>
          </w:p>
        </w:tc>
        <w:tc>
          <w:tcPr>
            <w:tcW w:type="dxa" w:w="2358"/>
            <w:vAlign w:val="center"/>
          </w:tcPr>
          <w:p>
            <w:pPr>
              <w:jc w:val="left"/>
            </w:pPr>
            <w:r>
              <w:rPr>
                <w:rFonts w:ascii="Times New Roman" w:hAnsi="Times New Roman" w:eastAsia="宋体"/>
                <w:b w:val="0"/>
                <w:sz w:val="19"/>
              </w:rPr>
              <w:t>(gᵢⱼ(t))、(G(t))、碰撞标志</w:t>
            </w:r>
          </w:p>
        </w:tc>
      </w:tr>
      <w:tr>
        <w:tc>
          <w:tcPr>
            <w:tcW w:type="dxa" w:w="2358"/>
            <w:vAlign w:val="center"/>
          </w:tcPr>
          <w:p>
            <w:pPr>
              <w:jc w:val="left"/>
            </w:pPr>
            <w:r>
              <w:rPr>
                <w:rFonts w:ascii="Times New Roman" w:hAnsi="Times New Roman" w:eastAsia="宋体"/>
                <w:b w:val="0"/>
                <w:sz w:val="19"/>
              </w:rPr>
              <w:t>本问新增四</w:t>
            </w:r>
          </w:p>
        </w:tc>
        <w:tc>
          <w:tcPr>
            <w:tcW w:type="dxa" w:w="2358"/>
            <w:vAlign w:val="center"/>
          </w:tcPr>
          <w:p>
            <w:pPr>
              <w:jc w:val="left"/>
            </w:pPr>
            <w:r>
              <w:rPr>
                <w:rFonts w:ascii="Times New Roman" w:hAnsi="Times New Roman" w:eastAsia="宋体"/>
                <w:b w:val="0"/>
                <w:sz w:val="19"/>
              </w:rPr>
              <w:t>首次碰撞搜索</w:t>
            </w:r>
          </w:p>
        </w:tc>
        <w:tc>
          <w:tcPr>
            <w:tcW w:type="dxa" w:w="2358"/>
            <w:vAlign w:val="center"/>
          </w:tcPr>
          <w:p>
            <w:pPr>
              <w:jc w:val="left"/>
            </w:pPr>
            <w:r>
              <w:rPr>
                <w:rFonts w:ascii="Times New Roman" w:hAnsi="Times New Roman" w:eastAsia="宋体"/>
                <w:b w:val="0"/>
                <w:sz w:val="19"/>
              </w:rPr>
              <w:t>(G(t))的时间序列</w:t>
            </w:r>
          </w:p>
        </w:tc>
        <w:tc>
          <w:tcPr>
            <w:tcW w:type="dxa" w:w="2358"/>
            <w:vAlign w:val="center"/>
          </w:tcPr>
          <w:p>
            <w:pPr>
              <w:jc w:val="left"/>
            </w:pPr>
            <w:r>
              <w:rPr>
                <w:rFonts w:ascii="Times New Roman" w:hAnsi="Times New Roman" w:eastAsia="宋体"/>
                <w:b w:val="0"/>
                <w:sz w:val="19"/>
              </w:rPr>
              <w:t>首次区间和 (t_crit)</w:t>
            </w:r>
          </w:p>
        </w:tc>
      </w:tr>
    </w:tbl>
    <w:p>
      <w:pPr>
        <w:ind w:firstLine="420"/>
      </w:pPr>
      <w:r>
        <w:rPr>
          <w:rFonts w:ascii="Times New Roman" w:hAnsi="Times New Roman" w:eastAsia="宋体"/>
          <w:sz w:val="21"/>
        </w:rPr>
        <w:t>这一区分保证了模型链条清楚：公共模型回答“板凳在哪里”，问题1回答“什么时候在哪里”，问题2回答“实体板凳是否相碰以及何时首次相碰”。</w:t>
      </w:r>
    </w:p>
    <w:p>
      <w:pPr>
        <w:pStyle w:val="Heading1"/>
      </w:pPr>
      <w:r>
        <w:t>3. 为什么这样建模</w:t>
      </w:r>
    </w:p>
    <w:p>
      <w:pPr>
        <w:pStyle w:val="Heading2"/>
      </w:pPr>
      <w:r>
        <w:t>3.1 为什么必须恢复实体有向矩形</w:t>
      </w:r>
    </w:p>
    <w:p>
      <w:pPr>
        <w:ind w:firstLine="420"/>
      </w:pPr>
      <w:r>
        <w:rPr>
          <w:rFonts w:ascii="Times New Roman" w:hAnsi="Times New Roman" w:eastAsia="宋体"/>
          <w:sz w:val="21"/>
        </w:rPr>
        <w:t>把手中心线只能说明板凳轴线，不能说明板凳宽度、长度和角点位置。两条中心线可能不相交，但对应的实体板凳仍然可能发生边缘接触；反过来，中心线接近也不一定意味着实体重叠。因此，碰撞判据必须作用在有向矩形上，而不能用中心线相交或中心距离代替。</w:t>
      </w:r>
    </w:p>
    <w:p>
      <w:pPr>
        <w:ind w:firstLine="420"/>
      </w:pPr>
      <w:r>
        <w:rPr>
          <w:rFonts w:ascii="Times New Roman" w:hAnsi="Times New Roman" w:eastAsia="宋体"/>
          <w:sz w:val="21"/>
        </w:rPr>
        <w:t>第 (i) 块板凳由 (Pᵢ₋₁) 和 (Pᵢ) 确定，中心和方向为</w:t>
      </w:r>
    </w:p>
    <w:p>
      <w:pPr>
        <w:jc w:val="center"/>
      </w:pPr>
      <w:r>
        <w:drawing>
          <wp:inline xmlns:a="http://schemas.openxmlformats.org/drawingml/2006/main" xmlns:pic="http://schemas.openxmlformats.org/drawingml/2006/picture">
            <wp:extent cx="5038825" cy="466825"/>
            <wp:docPr id="1" name="Picture 1"/>
            <wp:cNvGraphicFramePr>
              <a:graphicFrameLocks noChangeAspect="1"/>
            </wp:cNvGraphicFramePr>
            <a:graphic>
              <a:graphicData uri="http://schemas.openxmlformats.org/drawingml/2006/picture">
                <pic:pic>
                  <pic:nvPicPr>
                    <pic:cNvPr id="0" name="formula-001.png"/>
                    <pic:cNvPicPr/>
                  </pic:nvPicPr>
                  <pic:blipFill>
                    <a:blip r:embed="rId10"/>
                    <a:stretch>
                      <a:fillRect/>
                    </a:stretch>
                  </pic:blipFill>
                  <pic:spPr>
                    <a:xfrm>
                      <a:off x="0" y="0"/>
                      <a:ext cx="5038825" cy="466825"/>
                    </a:xfrm>
                    <a:prstGeom prst="rect"/>
                  </pic:spPr>
                </pic:pic>
              </a:graphicData>
            </a:graphic>
          </wp:inline>
        </w:drawing>
      </w:r>
    </w:p>
    <w:p>
      <w:pPr>
        <w:ind w:firstLine="420"/>
      </w:pPr>
      <w:r>
        <w:rPr>
          <w:rFonts w:ascii="Times New Roman" w:hAnsi="Times New Roman" w:eastAsia="宋体"/>
          <w:sz w:val="21"/>
        </w:rPr>
        <w:t>龙头板长为 (3.41, m)，其余板长为 (2.20, m)，板宽为 (0.30, m)。因此</w:t>
      </w:r>
    </w:p>
    <w:p>
      <w:pPr>
        <w:jc w:val="center"/>
      </w:pPr>
      <w:r>
        <w:drawing>
          <wp:inline xmlns:a="http://schemas.openxmlformats.org/drawingml/2006/main" xmlns:pic="http://schemas.openxmlformats.org/drawingml/2006/picture">
            <wp:extent cx="5486400" cy="301501"/>
            <wp:docPr id="2" name="Picture 2"/>
            <wp:cNvGraphicFramePr>
              <a:graphicFrameLocks noChangeAspect="1"/>
            </wp:cNvGraphicFramePr>
            <a:graphic>
              <a:graphicData uri="http://schemas.openxmlformats.org/drawingml/2006/picture">
                <pic:pic>
                  <pic:nvPicPr>
                    <pic:cNvPr id="0" name="formula-002.png"/>
                    <pic:cNvPicPr/>
                  </pic:nvPicPr>
                  <pic:blipFill>
                    <a:blip r:embed="rId11"/>
                    <a:stretch>
                      <a:fillRect/>
                    </a:stretch>
                  </pic:blipFill>
                  <pic:spPr>
                    <a:xfrm>
                      <a:off x="0" y="0"/>
                      <a:ext cx="5486400" cy="301501"/>
                    </a:xfrm>
                    <a:prstGeom prst="rect"/>
                  </pic:spPr>
                </pic:pic>
              </a:graphicData>
            </a:graphic>
          </wp:inline>
        </w:drawing>
      </w:r>
    </w:p>
    <w:p>
      <w:pPr>
        <w:ind w:firstLine="420"/>
      </w:pPr>
      <w:r>
        <w:rPr>
          <w:rFonts w:ascii="Times New Roman" w:hAnsi="Times New Roman" w:eastAsia="宋体"/>
          <w:sz w:val="21"/>
        </w:rPr>
        <w:t>矩形实体表示为</w:t>
      </w:r>
    </w:p>
    <w:p>
      <w:pPr>
        <w:jc w:val="center"/>
      </w:pPr>
      <w:r>
        <w:drawing>
          <wp:inline xmlns:a="http://schemas.openxmlformats.org/drawingml/2006/main" xmlns:pic="http://schemas.openxmlformats.org/drawingml/2006/picture">
            <wp:extent cx="4186989" cy="322446"/>
            <wp:docPr id="3" name="Picture 3"/>
            <wp:cNvGraphicFramePr>
              <a:graphicFrameLocks noChangeAspect="1"/>
            </wp:cNvGraphicFramePr>
            <a:graphic>
              <a:graphicData uri="http://schemas.openxmlformats.org/drawingml/2006/picture">
                <pic:pic>
                  <pic:nvPicPr>
                    <pic:cNvPr id="0" name="formula-003.png"/>
                    <pic:cNvPicPr/>
                  </pic:nvPicPr>
                  <pic:blipFill>
                    <a:blip r:embed="rId12"/>
                    <a:stretch>
                      <a:fillRect/>
                    </a:stretch>
                  </pic:blipFill>
                  <pic:spPr>
                    <a:xfrm>
                      <a:off x="0" y="0"/>
                      <a:ext cx="4186989" cy="322446"/>
                    </a:xfrm>
                    <a:prstGeom prst="rect"/>
                  </pic:spPr>
                </pic:pic>
              </a:graphicData>
            </a:graphic>
          </wp:inline>
        </w:drawing>
      </w:r>
    </w:p>
    <w:p>
      <w:pPr>
        <w:pStyle w:val="Heading2"/>
      </w:pPr>
      <w:r>
        <w:t>3.2 为什么采用“拓扑排除 → 外接圆初筛 → SAT精判”</w:t>
      </w:r>
    </w:p>
    <w:p>
      <w:pPr>
        <w:ind w:firstLine="420"/>
      </w:pPr>
      <w:r>
        <w:rPr>
          <w:rFonts w:ascii="Times New Roman" w:hAnsi="Times New Roman" w:eastAsia="宋体"/>
          <w:sz w:val="21"/>
        </w:rPr>
        <w:t>只对所有板对直接运行SAT虽然理论上可行，但每个时刻需要处理全部两两组合，且其中相邻板凳的接触是正常铰接关系，不应计入事故碰撞。分层筛选同时解决了物理口径和计算量问题：</w:t>
      </w:r>
    </w:p>
    <w:p>
      <w:pPr>
        <w:pStyle w:val="ListBullet"/>
      </w:pPr>
      <w:r>
        <w:rPr>
          <w:rFonts w:ascii="Times New Roman" w:hAnsi="Times New Roman" w:eastAsia="宋体"/>
          <w:sz w:val="21"/>
        </w:rPr>
        <w:t>拓扑排除：排除 (|i-j|=1) 的正常相邻连接；</w:t>
      </w:r>
    </w:p>
    <w:p>
      <w:pPr>
        <w:pStyle w:val="ListBullet"/>
      </w:pPr>
      <w:r>
        <w:rPr>
          <w:rFonts w:ascii="Times New Roman" w:hAnsi="Times New Roman" w:eastAsia="宋体"/>
          <w:sz w:val="21"/>
        </w:rPr>
        <w:t>外接圆初筛：若两个外接圆严格分离，矩形必然分离，可以无漏判地跳过SAT；</w:t>
      </w:r>
    </w:p>
    <w:p>
      <w:pPr>
        <w:pStyle w:val="ListBullet"/>
      </w:pPr>
      <w:r>
        <w:rPr>
          <w:rFonts w:ascii="Times New Roman" w:hAnsi="Times New Roman" w:eastAsia="宋体"/>
          <w:sz w:val="21"/>
        </w:rPr>
        <w:t>SAT精判：对剩余候选使用实体矩形的严格分离轴判定。</w:t>
      </w:r>
    </w:p>
    <w:p>
      <w:pPr>
        <w:ind w:firstLine="420"/>
      </w:pPr>
      <w:r>
        <w:rPr>
          <w:rFonts w:ascii="Times New Roman" w:hAnsi="Times New Roman" w:eastAsia="宋体"/>
          <w:sz w:val="21"/>
        </w:rPr>
        <w:t>223块板凳的非相邻候选数量为</w:t>
      </w:r>
    </w:p>
    <w:p>
      <w:pPr>
        <w:jc w:val="center"/>
      </w:pPr>
      <w:r>
        <w:drawing>
          <wp:inline xmlns:a="http://schemas.openxmlformats.org/drawingml/2006/main" xmlns:pic="http://schemas.openxmlformats.org/drawingml/2006/picture">
            <wp:extent cx="2343751" cy="394635"/>
            <wp:docPr id="4" name="Picture 4"/>
            <wp:cNvGraphicFramePr>
              <a:graphicFrameLocks noChangeAspect="1"/>
            </wp:cNvGraphicFramePr>
            <a:graphic>
              <a:graphicData uri="http://schemas.openxmlformats.org/drawingml/2006/picture">
                <pic:pic>
                  <pic:nvPicPr>
                    <pic:cNvPr id="0" name="formula-004.png"/>
                    <pic:cNvPicPr/>
                  </pic:nvPicPr>
                  <pic:blipFill>
                    <a:blip r:embed="rId13"/>
                    <a:stretch>
                      <a:fillRect/>
                    </a:stretch>
                  </pic:blipFill>
                  <pic:spPr>
                    <a:xfrm>
                      <a:off x="0" y="0"/>
                      <a:ext cx="2343751" cy="394635"/>
                    </a:xfrm>
                    <a:prstGeom prst="rect"/>
                  </pic:spPr>
                </pic:pic>
              </a:graphicData>
            </a:graphic>
          </wp:inline>
        </w:drawing>
      </w:r>
    </w:p>
    <w:p>
      <w:pPr>
        <w:ind w:firstLine="420"/>
      </w:pPr>
      <w:r>
        <w:rPr>
          <w:rFonts w:ascii="Times New Roman" w:hAnsi="Times New Roman" w:eastAsia="宋体"/>
          <w:sz w:val="21"/>
        </w:rPr>
        <w:t>令板凳矩形的外接圆半径为</w:t>
      </w:r>
    </w:p>
    <w:p>
      <w:pPr>
        <w:jc w:val="center"/>
      </w:pPr>
      <w:r>
        <w:drawing>
          <wp:inline xmlns:a="http://schemas.openxmlformats.org/drawingml/2006/main" xmlns:pic="http://schemas.openxmlformats.org/drawingml/2006/picture">
            <wp:extent cx="1573730" cy="447574"/>
            <wp:docPr id="5" name="Picture 5"/>
            <wp:cNvGraphicFramePr>
              <a:graphicFrameLocks noChangeAspect="1"/>
            </wp:cNvGraphicFramePr>
            <a:graphic>
              <a:graphicData uri="http://schemas.openxmlformats.org/drawingml/2006/picture">
                <pic:pic>
                  <pic:nvPicPr>
                    <pic:cNvPr id="0" name="formula-005.png"/>
                    <pic:cNvPicPr/>
                  </pic:nvPicPr>
                  <pic:blipFill>
                    <a:blip r:embed="rId14"/>
                    <a:stretch>
                      <a:fillRect/>
                    </a:stretch>
                  </pic:blipFill>
                  <pic:spPr>
                    <a:xfrm>
                      <a:off x="0" y="0"/>
                      <a:ext cx="1573730" cy="447574"/>
                    </a:xfrm>
                    <a:prstGeom prst="rect"/>
                  </pic:spPr>
                </pic:pic>
              </a:graphicData>
            </a:graphic>
          </wp:inline>
        </w:drawing>
      </w:r>
    </w:p>
    <w:p>
      <w:pPr>
        <w:ind w:firstLine="420"/>
      </w:pPr>
      <w:r>
        <w:rPr>
          <w:rFonts w:ascii="Times New Roman" w:hAnsi="Times New Roman" w:eastAsia="宋体"/>
          <w:sz w:val="21"/>
        </w:rPr>
        <w:t>当</w:t>
      </w:r>
    </w:p>
    <w:p>
      <w:pPr>
        <w:jc w:val="center"/>
      </w:pPr>
      <w:r>
        <w:drawing>
          <wp:inline xmlns:a="http://schemas.openxmlformats.org/drawingml/2006/main" xmlns:pic="http://schemas.openxmlformats.org/drawingml/2006/picture">
            <wp:extent cx="1732547" cy="341696"/>
            <wp:docPr id="6" name="Picture 6"/>
            <wp:cNvGraphicFramePr>
              <a:graphicFrameLocks noChangeAspect="1"/>
            </wp:cNvGraphicFramePr>
            <a:graphic>
              <a:graphicData uri="http://schemas.openxmlformats.org/drawingml/2006/picture">
                <pic:pic>
                  <pic:nvPicPr>
                    <pic:cNvPr id="0" name="formula-006.png"/>
                    <pic:cNvPicPr/>
                  </pic:nvPicPr>
                  <pic:blipFill>
                    <a:blip r:embed="rId15"/>
                    <a:stretch>
                      <a:fillRect/>
                    </a:stretch>
                  </pic:blipFill>
                  <pic:spPr>
                    <a:xfrm>
                      <a:off x="0" y="0"/>
                      <a:ext cx="1732547" cy="341696"/>
                    </a:xfrm>
                    <a:prstGeom prst="rect"/>
                  </pic:spPr>
                </pic:pic>
              </a:graphicData>
            </a:graphic>
          </wp:inline>
        </w:drawing>
      </w:r>
    </w:p>
    <w:p>
      <w:pPr>
        <w:ind w:firstLine="420"/>
      </w:pPr>
      <w:r>
        <w:rPr>
          <w:rFonts w:ascii="Times New Roman" w:hAnsi="Times New Roman" w:eastAsia="宋体"/>
          <w:sz w:val="21"/>
        </w:rPr>
        <w:t>时，两个外接圆严格分离，矩形一定安全。等号不直接判安全，而是保留给SAT处理，以免漏掉边界接触。</w:t>
      </w:r>
    </w:p>
    <w:p>
      <w:pPr>
        <w:pStyle w:val="Heading2"/>
      </w:pPr>
      <w:r>
        <w:t>3.3 为什么不能只使用外接圆</w:t>
      </w:r>
    </w:p>
    <w:p>
      <w:pPr>
        <w:ind w:firstLine="420"/>
      </w:pPr>
      <w:r>
        <w:rPr>
          <w:rFonts w:ascii="Times New Roman" w:hAnsi="Times New Roman" w:eastAsia="宋体"/>
          <w:sz w:val="21"/>
        </w:rPr>
        <w:t>外接圆初筛只能证明“圆分离时矩形安全”，不能证明圆相交时矩形一定碰撞。圆的包络比矩形更大，会产生大量假候选；因此外接圆只能作为安全初筛，不能作为最终碰撞判据。</w:t>
      </w:r>
    </w:p>
    <w:p>
      <w:pPr>
        <w:pStyle w:val="Heading2"/>
      </w:pPr>
      <w:r>
        <w:t>3.4 为什么使用SAT而不是中心距离阈值</w:t>
      </w:r>
    </w:p>
    <w:p>
      <w:pPr>
        <w:ind w:firstLine="420"/>
      </w:pPr>
      <w:r>
        <w:rPr>
          <w:rFonts w:ascii="Times New Roman" w:hAnsi="Times New Roman" w:eastAsia="宋体"/>
          <w:sz w:val="21"/>
        </w:rPr>
        <w:t>矩形的碰撞取决于长轴、法向、长度、宽度和相对姿态。中心距离阈值无法表达细长板凳在不同方向上的投影差异。SAT只需检查两块矩形的四条候选轴：</w:t>
      </w:r>
    </w:p>
    <w:p>
      <w:pPr>
        <w:jc w:val="center"/>
      </w:pPr>
      <w:r>
        <w:drawing>
          <wp:inline xmlns:a="http://schemas.openxmlformats.org/drawingml/2006/main" xmlns:pic="http://schemas.openxmlformats.org/drawingml/2006/picture">
            <wp:extent cx="1554480" cy="360679"/>
            <wp:docPr id="7" name="Picture 7"/>
            <wp:cNvGraphicFramePr>
              <a:graphicFrameLocks noChangeAspect="1"/>
            </wp:cNvGraphicFramePr>
            <a:graphic>
              <a:graphicData uri="http://schemas.openxmlformats.org/drawingml/2006/picture">
                <pic:pic>
                  <pic:nvPicPr>
                    <pic:cNvPr id="0" name="formula-007.png"/>
                    <pic:cNvPicPr/>
                  </pic:nvPicPr>
                  <pic:blipFill>
                    <a:blip r:embed="rId16"/>
                    <a:stretch>
                      <a:fillRect/>
                    </a:stretch>
                  </pic:blipFill>
                  <pic:spPr>
                    <a:xfrm>
                      <a:off x="0" y="0"/>
                      <a:ext cx="1554480" cy="360679"/>
                    </a:xfrm>
                    <a:prstGeom prst="rect"/>
                  </pic:spPr>
                </pic:pic>
              </a:graphicData>
            </a:graphic>
          </wp:inline>
        </w:drawing>
      </w:r>
    </w:p>
    <w:p>
      <w:pPr>
        <w:ind w:firstLine="420"/>
      </w:pPr>
      <w:r>
        <w:rPr>
          <w:rFonts w:ascii="Times New Roman" w:hAnsi="Times New Roman" w:eastAsia="宋体"/>
          <w:sz w:val="21"/>
        </w:rPr>
        <w:t>它既保留了矩形方向信息，又能把“接触”“安全”和“重叠”统一成一个可计算的安全裕度。</w:t>
      </w:r>
    </w:p>
    <w:p>
      <w:pPr>
        <w:pStyle w:val="Heading2"/>
      </w:pPr>
      <w:r>
        <w:t>3.5 为什么时间搜索不能假设全局裕度单调</w:t>
      </w:r>
    </w:p>
    <w:p>
      <w:pPr>
        <w:ind w:firstLine="420"/>
      </w:pPr>
      <w:r>
        <w:rPr>
          <w:rFonts w:ascii="Times New Roman" w:hAnsi="Times New Roman" w:eastAsia="宋体"/>
          <w:sz w:val="21"/>
        </w:rPr>
        <w:t>螺线盘入会使板凳逐渐靠近内圈，但板凳方向也持续旋转，非相邻板对的投影关系会反复变化。因此全局安全裕度可能出现局部极小值和再次变安全的区间。当前扫描确实在约 (436, s) 以后发现了再次的安全—碰撞转变，所以不能用“第一次碰撞后永远碰撞”的单调假设。</w:t>
      </w:r>
    </w:p>
    <w:p>
      <w:pPr>
        <w:ind w:firstLine="420"/>
      </w:pPr>
      <w:r>
        <w:rPr>
          <w:rFonts w:ascii="Times New Roman" w:hAnsi="Times New Roman" w:eastAsia="宋体"/>
          <w:sz w:val="21"/>
        </w:rPr>
        <w:t>因此，首次碰撞必须采用“全时域扫描发现符号转变 → 局部一维精化”的搜索，而不能只对某个单调函数做一次二分。</w:t>
      </w:r>
    </w:p>
    <w:p>
      <w:pPr>
        <w:pStyle w:val="Heading1"/>
      </w:pPr>
      <w:r>
        <w:t>4. 完整求解过程</w:t>
      </w:r>
    </w:p>
    <w:p>
      <w:pPr>
        <w:pStyle w:val="Heading2"/>
      </w:pPr>
      <w:r>
        <w:t>4.1 文字流程图</w:t>
      </w:r>
    </w:p>
    <w:p>
      <w:pPr>
        <w:ind w:left="283" w:right="283"/>
        <w:shd w:fill="F3F6F9"/>
      </w:pPr>
      <w:r>
        <w:rPr>
          <w:rFonts w:ascii="Consolas" w:hAnsi="Consolas" w:eastAsia="等线"/>
          <w:sz w:val="19"/>
        </w:rPr>
        <w:t>[问题1时间—位置接口] → [恢复223块有向矩形] → [排除相邻板对] → [外接圆安全初筛] → [SAT精判] → [计算全局裕度 G(t)] → [扫描锁定首次区间] → [Brent精化] → [独立复核]</w:t>
      </w:r>
    </w:p>
    <w:p>
      <w:pPr>
        <w:pStyle w:val="Heading2"/>
      </w:pPr>
      <w:r>
        <w:t>4.2 建模模块表</w:t>
      </w:r>
    </w:p>
    <w:tbl>
      <w:tblPr>
        <w:tblStyle w:val="TableGrid"/>
        <w:tblW w:type="auto" w:w="0"/>
        <w:tblLook w:firstColumn="1" w:firstRow="1" w:lastColumn="0" w:lastRow="0" w:noHBand="0" w:noVBand="1" w:val="04A0"/>
      </w:tblPr>
      <w:tblGrid>
        <w:gridCol w:w="1572"/>
        <w:gridCol w:w="1572"/>
        <w:gridCol w:w="1572"/>
        <w:gridCol w:w="1572"/>
        <w:gridCol w:w="1572"/>
        <w:gridCol w:w="1572"/>
      </w:tblGrid>
      <w:tr>
        <w:tc>
          <w:tcPr>
            <w:tcW w:type="dxa" w:w="1572"/>
            <w:vAlign w:val="center"/>
          </w:tcPr>
          <w:p>
            <w:pPr>
              <w:jc w:val="center"/>
              <w:shd w:fill="DCE6F1"/>
            </w:pPr>
            <w:r>
              <w:rPr>
                <w:rFonts w:ascii="Times New Roman" w:hAnsi="Times New Roman" w:eastAsia="宋体"/>
                <w:b/>
                <w:sz w:val="19"/>
              </w:rPr>
              <w:t>建模模块</w:t>
            </w:r>
          </w:p>
        </w:tc>
        <w:tc>
          <w:tcPr>
            <w:tcW w:type="dxa" w:w="1572"/>
            <w:vAlign w:val="center"/>
          </w:tcPr>
          <w:p>
            <w:pPr>
              <w:jc w:val="center"/>
              <w:shd w:fill="DCE6F1"/>
            </w:pPr>
            <w:r>
              <w:rPr>
                <w:rFonts w:ascii="Times New Roman" w:hAnsi="Times New Roman" w:eastAsia="宋体"/>
                <w:b/>
                <w:sz w:val="19"/>
              </w:rPr>
              <w:t>为什么需要</w:t>
            </w:r>
          </w:p>
        </w:tc>
        <w:tc>
          <w:tcPr>
            <w:tcW w:type="dxa" w:w="1572"/>
            <w:vAlign w:val="center"/>
          </w:tcPr>
          <w:p>
            <w:pPr>
              <w:jc w:val="center"/>
              <w:shd w:fill="DCE6F1"/>
            </w:pPr>
            <w:r>
              <w:rPr>
                <w:rFonts w:ascii="Times New Roman" w:hAnsi="Times New Roman" w:eastAsia="宋体"/>
                <w:b/>
                <w:sz w:val="19"/>
              </w:rPr>
              <w:t>输入</w:t>
            </w:r>
          </w:p>
        </w:tc>
        <w:tc>
          <w:tcPr>
            <w:tcW w:type="dxa" w:w="1572"/>
            <w:vAlign w:val="center"/>
          </w:tcPr>
          <w:p>
            <w:pPr>
              <w:jc w:val="center"/>
              <w:shd w:fill="DCE6F1"/>
            </w:pPr>
            <w:r>
              <w:rPr>
                <w:rFonts w:ascii="Times New Roman" w:hAnsi="Times New Roman" w:eastAsia="宋体"/>
                <w:b/>
                <w:sz w:val="19"/>
              </w:rPr>
              <w:t>核心处理</w:t>
            </w:r>
          </w:p>
        </w:tc>
        <w:tc>
          <w:tcPr>
            <w:tcW w:type="dxa" w:w="1572"/>
            <w:vAlign w:val="center"/>
          </w:tcPr>
          <w:p>
            <w:pPr>
              <w:jc w:val="center"/>
              <w:shd w:fill="DCE6F1"/>
            </w:pPr>
            <w:r>
              <w:rPr>
                <w:rFonts w:ascii="Times New Roman" w:hAnsi="Times New Roman" w:eastAsia="宋体"/>
                <w:b/>
                <w:sz w:val="19"/>
              </w:rPr>
              <w:t>输出</w:t>
            </w:r>
          </w:p>
        </w:tc>
        <w:tc>
          <w:tcPr>
            <w:tcW w:type="dxa" w:w="1572"/>
            <w:vAlign w:val="center"/>
          </w:tcPr>
          <w:p>
            <w:pPr>
              <w:jc w:val="center"/>
              <w:shd w:fill="DCE6F1"/>
            </w:pPr>
            <w:r>
              <w:rPr>
                <w:rFonts w:ascii="Times New Roman" w:hAnsi="Times New Roman" w:eastAsia="宋体"/>
                <w:b/>
                <w:sz w:val="19"/>
              </w:rPr>
              <w:t>后续用途</w:t>
            </w:r>
          </w:p>
        </w:tc>
      </w:tr>
      <w:tr>
        <w:tc>
          <w:tcPr>
            <w:tcW w:type="dxa" w:w="1572"/>
            <w:vAlign w:val="center"/>
          </w:tcPr>
          <w:p>
            <w:pPr>
              <w:jc w:val="left"/>
            </w:pPr>
            <w:r>
              <w:rPr>
                <w:rFonts w:ascii="Times New Roman" w:hAnsi="Times New Roman" w:eastAsia="宋体"/>
                <w:b w:val="0"/>
                <w:sz w:val="19"/>
              </w:rPr>
              <w:t>实体矩形恢复</w:t>
            </w:r>
          </w:p>
        </w:tc>
        <w:tc>
          <w:tcPr>
            <w:tcW w:type="dxa" w:w="1572"/>
            <w:vAlign w:val="center"/>
          </w:tcPr>
          <w:p>
            <w:pPr>
              <w:jc w:val="left"/>
            </w:pPr>
            <w:r>
              <w:rPr>
                <w:rFonts w:ascii="Times New Roman" w:hAnsi="Times New Roman" w:eastAsia="宋体"/>
                <w:b w:val="0"/>
                <w:sz w:val="19"/>
              </w:rPr>
              <w:t>中心线不能代表板凳实体</w:t>
            </w:r>
          </w:p>
        </w:tc>
        <w:tc>
          <w:tcPr>
            <w:tcW w:type="dxa" w:w="1572"/>
            <w:vAlign w:val="center"/>
          </w:tcPr>
          <w:p>
            <w:pPr>
              <w:jc w:val="left"/>
            </w:pPr>
            <w:r>
              <w:rPr>
                <w:rFonts w:ascii="Times New Roman" w:hAnsi="Times New Roman" w:eastAsia="宋体"/>
                <w:b w:val="0"/>
                <w:sz w:val="19"/>
              </w:rPr>
              <w:t>(Pᵢ₋₁,Pᵢ)、板长、板宽</w:t>
            </w:r>
          </w:p>
        </w:tc>
        <w:tc>
          <w:tcPr>
            <w:tcW w:type="dxa" w:w="1572"/>
            <w:vAlign w:val="center"/>
          </w:tcPr>
          <w:p>
            <w:pPr>
              <w:jc w:val="left"/>
            </w:pPr>
            <w:r>
              <w:rPr>
                <w:rFonts w:ascii="Times New Roman" w:hAnsi="Times New Roman" w:eastAsia="宋体"/>
                <w:b w:val="0"/>
                <w:sz w:val="19"/>
              </w:rPr>
              <w:t>求中心、长轴、法向和半长宽</w:t>
            </w:r>
          </w:p>
        </w:tc>
        <w:tc>
          <w:tcPr>
            <w:tcW w:type="dxa" w:w="1572"/>
            <w:vAlign w:val="center"/>
          </w:tcPr>
          <w:p>
            <w:pPr>
              <w:jc w:val="left"/>
            </w:pPr>
            <w:r>
              <w:rPr>
                <w:rFonts w:ascii="Times New Roman" w:hAnsi="Times New Roman" w:eastAsia="宋体"/>
                <w:b w:val="0"/>
                <w:sz w:val="19"/>
              </w:rPr>
              <w:t>(Rᵢ)</w:t>
            </w:r>
          </w:p>
        </w:tc>
        <w:tc>
          <w:tcPr>
            <w:tcW w:type="dxa" w:w="1572"/>
            <w:vAlign w:val="center"/>
          </w:tcPr>
          <w:p>
            <w:pPr>
              <w:jc w:val="left"/>
            </w:pPr>
            <w:r>
              <w:rPr>
                <w:rFonts w:ascii="Times New Roman" w:hAnsi="Times New Roman" w:eastAsia="宋体"/>
                <w:b w:val="0"/>
                <w:sz w:val="19"/>
              </w:rPr>
              <w:t>所有碰撞判定</w:t>
            </w:r>
          </w:p>
        </w:tc>
      </w:tr>
      <w:tr>
        <w:tc>
          <w:tcPr>
            <w:tcW w:type="dxa" w:w="1572"/>
            <w:vAlign w:val="center"/>
          </w:tcPr>
          <w:p>
            <w:pPr>
              <w:jc w:val="left"/>
            </w:pPr>
            <w:r>
              <w:rPr>
                <w:rFonts w:ascii="Times New Roman" w:hAnsi="Times New Roman" w:eastAsia="宋体"/>
                <w:b w:val="0"/>
                <w:sz w:val="19"/>
              </w:rPr>
              <w:t>拓扑排除</w:t>
            </w:r>
          </w:p>
        </w:tc>
        <w:tc>
          <w:tcPr>
            <w:tcW w:type="dxa" w:w="1572"/>
            <w:vAlign w:val="center"/>
          </w:tcPr>
          <w:p>
            <w:pPr>
              <w:jc w:val="left"/>
            </w:pPr>
            <w:r>
              <w:rPr>
                <w:rFonts w:ascii="Times New Roman" w:hAnsi="Times New Roman" w:eastAsia="宋体"/>
                <w:b w:val="0"/>
                <w:sz w:val="19"/>
              </w:rPr>
              <w:t>相邻连接是正常铰接</w:t>
            </w:r>
          </w:p>
        </w:tc>
        <w:tc>
          <w:tcPr>
            <w:tcW w:type="dxa" w:w="1572"/>
            <w:vAlign w:val="center"/>
          </w:tcPr>
          <w:p>
            <w:pPr>
              <w:jc w:val="left"/>
            </w:pPr>
            <w:r>
              <w:rPr>
                <w:rFonts w:ascii="Times New Roman" w:hAnsi="Times New Roman" w:eastAsia="宋体"/>
                <w:b w:val="0"/>
                <w:sz w:val="19"/>
              </w:rPr>
              <w:t>矩形编号</w:t>
            </w:r>
          </w:p>
        </w:tc>
        <w:tc>
          <w:tcPr>
            <w:tcW w:type="dxa" w:w="1572"/>
            <w:vAlign w:val="center"/>
          </w:tcPr>
          <w:p>
            <w:pPr>
              <w:jc w:val="left"/>
            </w:pPr>
            <w:r>
              <w:rPr>
                <w:rFonts w:ascii="Times New Roman" w:hAnsi="Times New Roman" w:eastAsia="宋体"/>
                <w:b w:val="0"/>
                <w:sz w:val="19"/>
              </w:rPr>
              <w:t>排除 (|i-j|=1)</w:t>
            </w:r>
          </w:p>
        </w:tc>
        <w:tc>
          <w:tcPr>
            <w:tcW w:type="dxa" w:w="1572"/>
            <w:vAlign w:val="center"/>
          </w:tcPr>
          <w:p>
            <w:pPr>
              <w:jc w:val="left"/>
            </w:pPr>
            <w:r>
              <w:rPr>
                <w:rFonts w:ascii="Times New Roman" w:hAnsi="Times New Roman" w:eastAsia="宋体"/>
                <w:b w:val="0"/>
                <w:sz w:val="19"/>
              </w:rPr>
              <w:t>24531组候选</w:t>
            </w:r>
          </w:p>
        </w:tc>
        <w:tc>
          <w:tcPr>
            <w:tcW w:type="dxa" w:w="1572"/>
            <w:vAlign w:val="center"/>
          </w:tcPr>
          <w:p>
            <w:pPr>
              <w:jc w:val="left"/>
            </w:pPr>
            <w:r>
              <w:rPr>
                <w:rFonts w:ascii="Times New Roman" w:hAnsi="Times New Roman" w:eastAsia="宋体"/>
                <w:b w:val="0"/>
                <w:sz w:val="19"/>
              </w:rPr>
              <w:t>排除正常连接</w:t>
            </w:r>
          </w:p>
        </w:tc>
      </w:tr>
      <w:tr>
        <w:tc>
          <w:tcPr>
            <w:tcW w:type="dxa" w:w="1572"/>
            <w:vAlign w:val="center"/>
          </w:tcPr>
          <w:p>
            <w:pPr>
              <w:jc w:val="left"/>
            </w:pPr>
            <w:r>
              <w:rPr>
                <w:rFonts w:ascii="Times New Roman" w:hAnsi="Times New Roman" w:eastAsia="宋体"/>
                <w:b w:val="0"/>
                <w:sz w:val="19"/>
              </w:rPr>
              <w:t>外接圆初筛</w:t>
            </w:r>
          </w:p>
        </w:tc>
        <w:tc>
          <w:tcPr>
            <w:tcW w:type="dxa" w:w="1572"/>
            <w:vAlign w:val="center"/>
          </w:tcPr>
          <w:p>
            <w:pPr>
              <w:jc w:val="left"/>
            </w:pPr>
            <w:r>
              <w:rPr>
                <w:rFonts w:ascii="Times New Roman" w:hAnsi="Times New Roman" w:eastAsia="宋体"/>
                <w:b w:val="0"/>
                <w:sz w:val="19"/>
              </w:rPr>
              <w:t>快速证明一批板对必然安全</w:t>
            </w:r>
          </w:p>
        </w:tc>
        <w:tc>
          <w:tcPr>
            <w:tcW w:type="dxa" w:w="1572"/>
            <w:vAlign w:val="center"/>
          </w:tcPr>
          <w:p>
            <w:pPr>
              <w:jc w:val="left"/>
            </w:pPr>
            <w:r>
              <w:rPr>
                <w:rFonts w:ascii="Times New Roman" w:hAnsi="Times New Roman" w:eastAsia="宋体"/>
                <w:b w:val="0"/>
                <w:sz w:val="19"/>
              </w:rPr>
              <w:t>中心与外接圆半径</w:t>
            </w:r>
          </w:p>
        </w:tc>
        <w:tc>
          <w:tcPr>
            <w:tcW w:type="dxa" w:w="1572"/>
            <w:vAlign w:val="center"/>
          </w:tcPr>
          <w:p>
            <w:pPr>
              <w:jc w:val="left"/>
            </w:pPr>
            <w:r>
              <w:rPr>
                <w:rFonts w:ascii="Times New Roman" w:hAnsi="Times New Roman" w:eastAsia="宋体"/>
                <w:b w:val="0"/>
                <w:sz w:val="19"/>
              </w:rPr>
              <w:t>比较中心距与半径和</w:t>
            </w:r>
          </w:p>
        </w:tc>
        <w:tc>
          <w:tcPr>
            <w:tcW w:type="dxa" w:w="1572"/>
            <w:vAlign w:val="center"/>
          </w:tcPr>
          <w:p>
            <w:pPr>
              <w:jc w:val="left"/>
            </w:pPr>
            <w:r>
              <w:rPr>
                <w:rFonts w:ascii="Times New Roman" w:hAnsi="Times New Roman" w:eastAsia="宋体"/>
                <w:b w:val="0"/>
                <w:sz w:val="19"/>
              </w:rPr>
              <w:t>安全对、SAT候选对</w:t>
            </w:r>
          </w:p>
        </w:tc>
        <w:tc>
          <w:tcPr>
            <w:tcW w:type="dxa" w:w="1572"/>
            <w:vAlign w:val="center"/>
          </w:tcPr>
          <w:p>
            <w:pPr>
              <w:jc w:val="left"/>
            </w:pPr>
            <w:r>
              <w:rPr>
                <w:rFonts w:ascii="Times New Roman" w:hAnsi="Times New Roman" w:eastAsia="宋体"/>
                <w:b w:val="0"/>
                <w:sz w:val="19"/>
              </w:rPr>
              <w:t>降低计算量</w:t>
            </w:r>
          </w:p>
        </w:tc>
      </w:tr>
      <w:tr>
        <w:tc>
          <w:tcPr>
            <w:tcW w:type="dxa" w:w="1572"/>
            <w:vAlign w:val="center"/>
          </w:tcPr>
          <w:p>
            <w:pPr>
              <w:jc w:val="left"/>
            </w:pPr>
            <w:r>
              <w:rPr>
                <w:rFonts w:ascii="Times New Roman" w:hAnsi="Times New Roman" w:eastAsia="宋体"/>
                <w:b w:val="0"/>
                <w:sz w:val="19"/>
              </w:rPr>
              <w:t>SAT精判</w:t>
            </w:r>
          </w:p>
        </w:tc>
        <w:tc>
          <w:tcPr>
            <w:tcW w:type="dxa" w:w="1572"/>
            <w:vAlign w:val="center"/>
          </w:tcPr>
          <w:p>
            <w:pPr>
              <w:jc w:val="left"/>
            </w:pPr>
            <w:r>
              <w:rPr>
                <w:rFonts w:ascii="Times New Roman" w:hAnsi="Times New Roman" w:eastAsia="宋体"/>
                <w:b w:val="0"/>
                <w:sz w:val="19"/>
              </w:rPr>
              <w:t>判断有向矩形是否接触或重叠</w:t>
            </w:r>
          </w:p>
        </w:tc>
        <w:tc>
          <w:tcPr>
            <w:tcW w:type="dxa" w:w="1572"/>
            <w:vAlign w:val="center"/>
          </w:tcPr>
          <w:p>
            <w:pPr>
              <w:jc w:val="left"/>
            </w:pPr>
            <w:r>
              <w:rPr>
                <w:rFonts w:ascii="Times New Roman" w:hAnsi="Times New Roman" w:eastAsia="宋体"/>
                <w:b w:val="0"/>
                <w:sz w:val="19"/>
              </w:rPr>
              <w:t>两块有向矩形</w:t>
            </w:r>
          </w:p>
        </w:tc>
        <w:tc>
          <w:tcPr>
            <w:tcW w:type="dxa" w:w="1572"/>
            <w:vAlign w:val="center"/>
          </w:tcPr>
          <w:p>
            <w:pPr>
              <w:jc w:val="left"/>
            </w:pPr>
            <w:r>
              <w:rPr>
                <w:rFonts w:ascii="Times New Roman" w:hAnsi="Times New Roman" w:eastAsia="宋体"/>
                <w:b w:val="0"/>
                <w:sz w:val="19"/>
              </w:rPr>
              <w:t>检查四条候选分离轴</w:t>
            </w:r>
          </w:p>
        </w:tc>
        <w:tc>
          <w:tcPr>
            <w:tcW w:type="dxa" w:w="1572"/>
            <w:vAlign w:val="center"/>
          </w:tcPr>
          <w:p>
            <w:pPr>
              <w:jc w:val="left"/>
            </w:pPr>
            <w:r>
              <w:rPr>
                <w:rFonts w:ascii="Times New Roman" w:hAnsi="Times New Roman" w:eastAsia="宋体"/>
                <w:b w:val="0"/>
                <w:sz w:val="19"/>
              </w:rPr>
              <w:t>(gᵢⱼ(t))</w:t>
            </w:r>
          </w:p>
        </w:tc>
        <w:tc>
          <w:tcPr>
            <w:tcW w:type="dxa" w:w="1572"/>
            <w:vAlign w:val="center"/>
          </w:tcPr>
          <w:p>
            <w:pPr>
              <w:jc w:val="left"/>
            </w:pPr>
            <w:r>
              <w:rPr>
                <w:rFonts w:ascii="Times New Roman" w:hAnsi="Times New Roman" w:eastAsia="宋体"/>
                <w:b w:val="0"/>
                <w:sz w:val="19"/>
              </w:rPr>
              <w:t>形成全局裕度</w:t>
            </w:r>
          </w:p>
        </w:tc>
      </w:tr>
      <w:tr>
        <w:tc>
          <w:tcPr>
            <w:tcW w:type="dxa" w:w="1572"/>
            <w:vAlign w:val="center"/>
          </w:tcPr>
          <w:p>
            <w:pPr>
              <w:jc w:val="left"/>
            </w:pPr>
            <w:r>
              <w:rPr>
                <w:rFonts w:ascii="Times New Roman" w:hAnsi="Times New Roman" w:eastAsia="宋体"/>
                <w:b w:val="0"/>
                <w:sz w:val="19"/>
              </w:rPr>
              <w:t>全局裕度</w:t>
            </w:r>
          </w:p>
        </w:tc>
        <w:tc>
          <w:tcPr>
            <w:tcW w:type="dxa" w:w="1572"/>
            <w:vAlign w:val="center"/>
          </w:tcPr>
          <w:p>
            <w:pPr>
              <w:jc w:val="left"/>
            </w:pPr>
            <w:r>
              <w:rPr>
                <w:rFonts w:ascii="Times New Roman" w:hAnsi="Times New Roman" w:eastAsia="宋体"/>
                <w:b w:val="0"/>
                <w:sz w:val="19"/>
              </w:rPr>
              <w:t>把多板对结果汇总为系统事件</w:t>
            </w:r>
          </w:p>
        </w:tc>
        <w:tc>
          <w:tcPr>
            <w:tcW w:type="dxa" w:w="1572"/>
            <w:vAlign w:val="center"/>
          </w:tcPr>
          <w:p>
            <w:pPr>
              <w:jc w:val="left"/>
            </w:pPr>
            <w:r>
              <w:rPr>
                <w:rFonts w:ascii="Times New Roman" w:hAnsi="Times New Roman" w:eastAsia="宋体"/>
                <w:b w:val="0"/>
                <w:sz w:val="19"/>
              </w:rPr>
              <w:t>全部 (gᵢⱼ)</w:t>
            </w:r>
          </w:p>
        </w:tc>
        <w:tc>
          <w:tcPr>
            <w:tcW w:type="dxa" w:w="1572"/>
            <w:vAlign w:val="center"/>
          </w:tcPr>
          <w:p>
            <w:pPr>
              <w:jc w:val="left"/>
            </w:pPr>
            <w:r>
              <w:rPr>
                <w:rFonts w:ascii="Times New Roman" w:hAnsi="Times New Roman" w:eastAsia="宋体"/>
                <w:b w:val="0"/>
                <w:sz w:val="19"/>
              </w:rPr>
              <w:t>取非相邻板对最小值</w:t>
            </w:r>
          </w:p>
        </w:tc>
        <w:tc>
          <w:tcPr>
            <w:tcW w:type="dxa" w:w="1572"/>
            <w:vAlign w:val="center"/>
          </w:tcPr>
          <w:p>
            <w:pPr>
              <w:jc w:val="left"/>
            </w:pPr>
            <w:r>
              <w:rPr>
                <w:rFonts w:ascii="Times New Roman" w:hAnsi="Times New Roman" w:eastAsia="宋体"/>
                <w:b w:val="0"/>
                <w:sz w:val="19"/>
              </w:rPr>
              <w:t>(G(t))</w:t>
            </w:r>
          </w:p>
        </w:tc>
        <w:tc>
          <w:tcPr>
            <w:tcW w:type="dxa" w:w="1572"/>
            <w:vAlign w:val="center"/>
          </w:tcPr>
          <w:p>
            <w:pPr>
              <w:jc w:val="left"/>
            </w:pPr>
            <w:r>
              <w:rPr>
                <w:rFonts w:ascii="Times New Roman" w:hAnsi="Times New Roman" w:eastAsia="宋体"/>
                <w:b w:val="0"/>
                <w:sz w:val="19"/>
              </w:rPr>
              <w:t>判断系统是否碰撞</w:t>
            </w:r>
          </w:p>
        </w:tc>
      </w:tr>
      <w:tr>
        <w:tc>
          <w:tcPr>
            <w:tcW w:type="dxa" w:w="1572"/>
            <w:vAlign w:val="center"/>
          </w:tcPr>
          <w:p>
            <w:pPr>
              <w:jc w:val="left"/>
            </w:pPr>
            <w:r>
              <w:rPr>
                <w:rFonts w:ascii="Times New Roman" w:hAnsi="Times New Roman" w:eastAsia="宋体"/>
                <w:b w:val="0"/>
                <w:sz w:val="19"/>
              </w:rPr>
              <w:t>首次时间搜索</w:t>
            </w:r>
          </w:p>
        </w:tc>
        <w:tc>
          <w:tcPr>
            <w:tcW w:type="dxa" w:w="1572"/>
            <w:vAlign w:val="center"/>
          </w:tcPr>
          <w:p>
            <w:pPr>
              <w:jc w:val="left"/>
            </w:pPr>
            <w:r>
              <w:rPr>
                <w:rFonts w:ascii="Times New Roman" w:hAnsi="Times New Roman" w:eastAsia="宋体"/>
                <w:b w:val="0"/>
                <w:sz w:val="19"/>
              </w:rPr>
              <w:t>找到最早临界时刻</w:t>
            </w:r>
          </w:p>
        </w:tc>
        <w:tc>
          <w:tcPr>
            <w:tcW w:type="dxa" w:w="1572"/>
            <w:vAlign w:val="center"/>
          </w:tcPr>
          <w:p>
            <w:pPr>
              <w:jc w:val="left"/>
            </w:pPr>
            <w:r>
              <w:rPr>
                <w:rFonts w:ascii="Times New Roman" w:hAnsi="Times New Roman" w:eastAsia="宋体"/>
                <w:b w:val="0"/>
                <w:sz w:val="19"/>
              </w:rPr>
              <w:t>(G(t))时间序列</w:t>
            </w:r>
          </w:p>
        </w:tc>
        <w:tc>
          <w:tcPr>
            <w:tcW w:type="dxa" w:w="1572"/>
            <w:vAlign w:val="center"/>
          </w:tcPr>
          <w:p>
            <w:pPr>
              <w:jc w:val="left"/>
            </w:pPr>
            <w:r>
              <w:rPr>
                <w:rFonts w:ascii="Times New Roman" w:hAnsi="Times New Roman" w:eastAsia="宋体"/>
                <w:b w:val="0"/>
                <w:sz w:val="19"/>
              </w:rPr>
              <w:t>粗扫描、区间精化、稳定性复核</w:t>
            </w:r>
          </w:p>
        </w:tc>
        <w:tc>
          <w:tcPr>
            <w:tcW w:type="dxa" w:w="1572"/>
            <w:vAlign w:val="center"/>
          </w:tcPr>
          <w:p>
            <w:pPr>
              <w:jc w:val="left"/>
            </w:pPr>
            <w:r>
              <w:rPr>
                <w:rFonts w:ascii="Times New Roman" w:hAnsi="Times New Roman" w:eastAsia="宋体"/>
                <w:b w:val="0"/>
                <w:sz w:val="19"/>
              </w:rPr>
              <w:t>(t_crit)</w:t>
            </w:r>
          </w:p>
        </w:tc>
        <w:tc>
          <w:tcPr>
            <w:tcW w:type="dxa" w:w="1572"/>
            <w:vAlign w:val="center"/>
          </w:tcPr>
          <w:p>
            <w:pPr>
              <w:jc w:val="left"/>
            </w:pPr>
            <w:r>
              <w:rPr>
                <w:rFonts w:ascii="Times New Roman" w:hAnsi="Times New Roman" w:eastAsia="宋体"/>
                <w:b w:val="0"/>
                <w:sz w:val="19"/>
              </w:rPr>
              <w:t>回答问题2</w:t>
            </w:r>
          </w:p>
        </w:tc>
      </w:tr>
      <w:tr>
        <w:tc>
          <w:tcPr>
            <w:tcW w:type="dxa" w:w="1572"/>
            <w:vAlign w:val="center"/>
          </w:tcPr>
          <w:p>
            <w:pPr>
              <w:jc w:val="left"/>
            </w:pPr>
            <w:r>
              <w:rPr>
                <w:rFonts w:ascii="Times New Roman" w:hAnsi="Times New Roman" w:eastAsia="宋体"/>
                <w:b w:val="0"/>
                <w:sz w:val="19"/>
              </w:rPr>
              <w:t>独立多边形复核</w:t>
            </w:r>
          </w:p>
        </w:tc>
        <w:tc>
          <w:tcPr>
            <w:tcW w:type="dxa" w:w="1572"/>
            <w:vAlign w:val="center"/>
          </w:tcPr>
          <w:p>
            <w:pPr>
              <w:jc w:val="left"/>
            </w:pPr>
            <w:r>
              <w:rPr>
                <w:rFonts w:ascii="Times New Roman" w:hAnsi="Times New Roman" w:eastAsia="宋体"/>
                <w:b w:val="0"/>
                <w:sz w:val="19"/>
              </w:rPr>
              <w:t>防止SAT实现自身偏差</w:t>
            </w:r>
          </w:p>
        </w:tc>
        <w:tc>
          <w:tcPr>
            <w:tcW w:type="dxa" w:w="1572"/>
            <w:vAlign w:val="center"/>
          </w:tcPr>
          <w:p>
            <w:pPr>
              <w:jc w:val="left"/>
            </w:pPr>
            <w:r>
              <w:rPr>
                <w:rFonts w:ascii="Times New Roman" w:hAnsi="Times New Roman" w:eastAsia="宋体"/>
                <w:b w:val="0"/>
                <w:sz w:val="19"/>
              </w:rPr>
              <w:t>临界候选板对</w:t>
            </w:r>
          </w:p>
        </w:tc>
        <w:tc>
          <w:tcPr>
            <w:tcW w:type="dxa" w:w="1572"/>
            <w:vAlign w:val="center"/>
          </w:tcPr>
          <w:p>
            <w:pPr>
              <w:jc w:val="left"/>
            </w:pPr>
            <w:r>
              <w:rPr>
                <w:rFonts w:ascii="Times New Roman" w:hAnsi="Times New Roman" w:eastAsia="宋体"/>
                <w:b w:val="0"/>
                <w:sz w:val="19"/>
              </w:rPr>
              <w:t>独立恢复多边形并比较</w:t>
            </w:r>
          </w:p>
        </w:tc>
        <w:tc>
          <w:tcPr>
            <w:tcW w:type="dxa" w:w="1572"/>
            <w:vAlign w:val="center"/>
          </w:tcPr>
          <w:p>
            <w:pPr>
              <w:jc w:val="left"/>
            </w:pPr>
            <w:r>
              <w:rPr>
                <w:rFonts w:ascii="Times New Roman" w:hAnsi="Times New Roman" w:eastAsia="宋体"/>
                <w:b w:val="0"/>
                <w:sz w:val="19"/>
              </w:rPr>
              <w:t>距离、交集面积</w:t>
            </w:r>
          </w:p>
        </w:tc>
        <w:tc>
          <w:tcPr>
            <w:tcW w:type="dxa" w:w="1572"/>
            <w:vAlign w:val="center"/>
          </w:tcPr>
          <w:p>
            <w:pPr>
              <w:jc w:val="left"/>
            </w:pPr>
            <w:r>
              <w:rPr>
                <w:rFonts w:ascii="Times New Roman" w:hAnsi="Times New Roman" w:eastAsia="宋体"/>
                <w:b w:val="0"/>
                <w:sz w:val="19"/>
              </w:rPr>
              <w:t>检查接触边界</w:t>
            </w:r>
          </w:p>
        </w:tc>
      </w:tr>
    </w:tbl>
    <w:p>
      <w:pPr>
        <w:pStyle w:val="Heading2"/>
      </w:pPr>
      <w:r>
        <w:t>4.3 SAT安全裕度</w:t>
      </w:r>
    </w:p>
    <w:p>
      <w:pPr>
        <w:ind w:firstLine="420"/>
      </w:pPr>
      <w:r>
        <w:rPr>
          <w:rFonts w:ascii="Times New Roman" w:hAnsi="Times New Roman" w:eastAsia="宋体"/>
          <w:sz w:val="21"/>
        </w:rPr>
        <w:t>对任意候选单位轴 (e)，矩形 (Rᵢ) 的投影半径为</w:t>
      </w:r>
    </w:p>
    <w:p>
      <w:pPr>
        <w:jc w:val="center"/>
      </w:pPr>
      <w:r>
        <w:drawing>
          <wp:inline xmlns:a="http://schemas.openxmlformats.org/drawingml/2006/main" xmlns:pic="http://schemas.openxmlformats.org/drawingml/2006/picture">
            <wp:extent cx="2853890" cy="322446"/>
            <wp:docPr id="8" name="Picture 8"/>
            <wp:cNvGraphicFramePr>
              <a:graphicFrameLocks noChangeAspect="1"/>
            </wp:cNvGraphicFramePr>
            <a:graphic>
              <a:graphicData uri="http://schemas.openxmlformats.org/drawingml/2006/picture">
                <pic:pic>
                  <pic:nvPicPr>
                    <pic:cNvPr id="0" name="formula-008.png"/>
                    <pic:cNvPicPr/>
                  </pic:nvPicPr>
                  <pic:blipFill>
                    <a:blip r:embed="rId17"/>
                    <a:stretch>
                      <a:fillRect/>
                    </a:stretch>
                  </pic:blipFill>
                  <pic:spPr>
                    <a:xfrm>
                      <a:off x="0" y="0"/>
                      <a:ext cx="2853890" cy="322446"/>
                    </a:xfrm>
                    <a:prstGeom prst="rect"/>
                  </pic:spPr>
                </pic:pic>
              </a:graphicData>
            </a:graphic>
          </wp:inline>
        </w:drawing>
      </w:r>
    </w:p>
    <w:p>
      <w:pPr>
        <w:ind w:firstLine="420"/>
      </w:pPr>
      <w:r>
        <w:rPr>
          <w:rFonts w:ascii="Times New Roman" w:hAnsi="Times New Roman" w:eastAsia="宋体"/>
          <w:sz w:val="21"/>
        </w:rPr>
        <w:t>两矩形中心在该轴上的投影距离为</w:t>
      </w:r>
    </w:p>
    <w:p>
      <w:pPr>
        <w:jc w:val="center"/>
      </w:pPr>
      <w:r>
        <w:drawing>
          <wp:inline xmlns:a="http://schemas.openxmlformats.org/drawingml/2006/main" xmlns:pic="http://schemas.openxmlformats.org/drawingml/2006/picture">
            <wp:extent cx="2271562" cy="341696"/>
            <wp:docPr id="9" name="Picture 9"/>
            <wp:cNvGraphicFramePr>
              <a:graphicFrameLocks noChangeAspect="1"/>
            </wp:cNvGraphicFramePr>
            <a:graphic>
              <a:graphicData uri="http://schemas.openxmlformats.org/drawingml/2006/picture">
                <pic:pic>
                  <pic:nvPicPr>
                    <pic:cNvPr id="0" name="formula-009.png"/>
                    <pic:cNvPicPr/>
                  </pic:nvPicPr>
                  <pic:blipFill>
                    <a:blip r:embed="rId18"/>
                    <a:stretch>
                      <a:fillRect/>
                    </a:stretch>
                  </pic:blipFill>
                  <pic:spPr>
                    <a:xfrm>
                      <a:off x="0" y="0"/>
                      <a:ext cx="2271562" cy="341696"/>
                    </a:xfrm>
                    <a:prstGeom prst="rect"/>
                  </pic:spPr>
                </pic:pic>
              </a:graphicData>
            </a:graphic>
          </wp:inline>
        </w:drawing>
      </w:r>
    </w:p>
    <w:p>
      <w:pPr>
        <w:ind w:firstLine="420"/>
      </w:pPr>
      <w:r>
        <w:rPr>
          <w:rFonts w:ascii="Times New Roman" w:hAnsi="Times New Roman" w:eastAsia="宋体"/>
          <w:sz w:val="21"/>
        </w:rPr>
        <w:t>定义板对安全裕度</w:t>
      </w:r>
    </w:p>
    <w:p>
      <w:pPr>
        <w:jc w:val="center"/>
      </w:pPr>
      <w:r>
        <w:drawing>
          <wp:inline xmlns:a="http://schemas.openxmlformats.org/drawingml/2006/main" xmlns:pic="http://schemas.openxmlformats.org/drawingml/2006/picture">
            <wp:extent cx="3051208" cy="341696"/>
            <wp:docPr id="10" name="Picture 10"/>
            <wp:cNvGraphicFramePr>
              <a:graphicFrameLocks noChangeAspect="1"/>
            </wp:cNvGraphicFramePr>
            <a:graphic>
              <a:graphicData uri="http://schemas.openxmlformats.org/drawingml/2006/picture">
                <pic:pic>
                  <pic:nvPicPr>
                    <pic:cNvPr id="0" name="formula-010.png"/>
                    <pic:cNvPicPr/>
                  </pic:nvPicPr>
                  <pic:blipFill>
                    <a:blip r:embed="rId19"/>
                    <a:stretch>
                      <a:fillRect/>
                    </a:stretch>
                  </pic:blipFill>
                  <pic:spPr>
                    <a:xfrm>
                      <a:off x="0" y="0"/>
                      <a:ext cx="3051208" cy="341696"/>
                    </a:xfrm>
                    <a:prstGeom prst="rect"/>
                  </pic:spPr>
                </pic:pic>
              </a:graphicData>
            </a:graphic>
          </wp:inline>
        </w:drawing>
      </w:r>
    </w:p>
    <w:p>
      <w:pPr>
        <w:ind w:firstLine="420"/>
      </w:pPr>
      <w:r>
        <w:rPr>
          <w:rFonts w:ascii="Times New Roman" w:hAnsi="Times New Roman" w:eastAsia="宋体"/>
          <w:sz w:val="21"/>
        </w:rPr>
        <w:t>并在四条候选轴上取最大值：</w:t>
      </w:r>
    </w:p>
    <w:p>
      <w:pPr>
        <w:jc w:val="center"/>
      </w:pPr>
      <w:r>
        <w:drawing>
          <wp:inline xmlns:a="http://schemas.openxmlformats.org/drawingml/2006/main" xmlns:pic="http://schemas.openxmlformats.org/drawingml/2006/picture">
            <wp:extent cx="2622884" cy="476451"/>
            <wp:docPr id="11" name="Picture 11"/>
            <wp:cNvGraphicFramePr>
              <a:graphicFrameLocks noChangeAspect="1"/>
            </wp:cNvGraphicFramePr>
            <a:graphic>
              <a:graphicData uri="http://schemas.openxmlformats.org/drawingml/2006/picture">
                <pic:pic>
                  <pic:nvPicPr>
                    <pic:cNvPr id="0" name="formula-011.png"/>
                    <pic:cNvPicPr/>
                  </pic:nvPicPr>
                  <pic:blipFill>
                    <a:blip r:embed="rId20"/>
                    <a:stretch>
                      <a:fillRect/>
                    </a:stretch>
                  </pic:blipFill>
                  <pic:spPr>
                    <a:xfrm>
                      <a:off x="0" y="0"/>
                      <a:ext cx="2622884" cy="476451"/>
                    </a:xfrm>
                    <a:prstGeom prst="rect"/>
                  </pic:spPr>
                </pic:pic>
              </a:graphicData>
            </a:graphic>
          </wp:inline>
        </w:drawing>
      </w:r>
    </w:p>
    <w:p>
      <w:pPr>
        <w:ind w:firstLine="420"/>
      </w:pPr>
      <w:r>
        <w:rPr>
          <w:rFonts w:ascii="Times New Roman" w:hAnsi="Times New Roman" w:eastAsia="宋体"/>
          <w:sz w:val="21"/>
        </w:rPr>
        <w:t>其含义为：</w:t>
      </w:r>
    </w:p>
    <w:tbl>
      <w:tblPr>
        <w:tblStyle w:val="TableGrid"/>
        <w:tblW w:type="auto" w:w="0"/>
        <w:tblLook w:firstColumn="1" w:firstRow="1" w:lastColumn="0" w:lastRow="0" w:noHBand="0" w:noVBand="1" w:val="04A0"/>
      </w:tblPr>
      <w:tblGrid>
        <w:gridCol w:w="4717"/>
        <w:gridCol w:w="4717"/>
      </w:tblGrid>
      <w:tr>
        <w:tc>
          <w:tcPr>
            <w:tcW w:type="dxa" w:w="4717"/>
            <w:vAlign w:val="center"/>
          </w:tcPr>
          <w:p>
            <w:pPr>
              <w:jc w:val="center"/>
              <w:shd w:fill="DCE6F1"/>
            </w:pPr>
            <w:r>
              <w:rPr>
                <w:rFonts w:ascii="Times New Roman" w:hAnsi="Times New Roman" w:eastAsia="宋体"/>
                <w:b/>
                <w:sz w:val="19"/>
              </w:rPr>
              <w:t>条件</w:t>
            </w:r>
          </w:p>
        </w:tc>
        <w:tc>
          <w:tcPr>
            <w:tcW w:type="dxa" w:w="4717"/>
            <w:vAlign w:val="center"/>
          </w:tcPr>
          <w:p>
            <w:pPr>
              <w:jc w:val="center"/>
              <w:shd w:fill="DCE6F1"/>
            </w:pPr>
            <w:r>
              <w:rPr>
                <w:rFonts w:ascii="Times New Roman" w:hAnsi="Times New Roman" w:eastAsia="宋体"/>
                <w:b/>
                <w:sz w:val="19"/>
              </w:rPr>
              <w:t>几何含义</w:t>
            </w:r>
          </w:p>
        </w:tc>
      </w:tr>
      <w:tr>
        <w:tc>
          <w:tcPr>
            <w:tcW w:type="dxa" w:w="4717"/>
            <w:vAlign w:val="center"/>
          </w:tcPr>
          <w:p>
            <w:pPr>
              <w:jc w:val="left"/>
            </w:pPr>
            <w:r>
              <w:rPr>
                <w:rFonts w:ascii="Times New Roman" w:hAnsi="Times New Roman" w:eastAsia="宋体"/>
                <w:b w:val="0"/>
                <w:sz w:val="19"/>
              </w:rPr>
              <w:t>(gᵢⱼ&gt;0)</w:t>
            </w:r>
          </w:p>
        </w:tc>
        <w:tc>
          <w:tcPr>
            <w:tcW w:type="dxa" w:w="4717"/>
            <w:vAlign w:val="center"/>
          </w:tcPr>
          <w:p>
            <w:pPr>
              <w:jc w:val="left"/>
            </w:pPr>
            <w:r>
              <w:rPr>
                <w:rFonts w:ascii="Times New Roman" w:hAnsi="Times New Roman" w:eastAsia="宋体"/>
                <w:b w:val="0"/>
                <w:sz w:val="19"/>
              </w:rPr>
              <w:t>至少存在一条分离轴，板对安全</w:t>
            </w:r>
          </w:p>
        </w:tc>
      </w:tr>
      <w:tr>
        <w:tc>
          <w:tcPr>
            <w:tcW w:type="dxa" w:w="4717"/>
            <w:vAlign w:val="center"/>
          </w:tcPr>
          <w:p>
            <w:pPr>
              <w:jc w:val="left"/>
            </w:pPr>
            <w:r>
              <w:rPr>
                <w:rFonts w:ascii="Times New Roman" w:hAnsi="Times New Roman" w:eastAsia="宋体"/>
                <w:b w:val="0"/>
                <w:sz w:val="19"/>
              </w:rPr>
              <w:t>(gᵢⱼ=0)</w:t>
            </w:r>
          </w:p>
        </w:tc>
        <w:tc>
          <w:tcPr>
            <w:tcW w:type="dxa" w:w="4717"/>
            <w:vAlign w:val="center"/>
          </w:tcPr>
          <w:p>
            <w:pPr>
              <w:jc w:val="left"/>
            </w:pPr>
            <w:r>
              <w:rPr>
                <w:rFonts w:ascii="Times New Roman" w:hAnsi="Times New Roman" w:eastAsia="宋体"/>
                <w:b w:val="0"/>
                <w:sz w:val="19"/>
              </w:rPr>
              <w:t>刚好接触，达到碰撞临界</w:t>
            </w:r>
          </w:p>
        </w:tc>
      </w:tr>
      <w:tr>
        <w:tc>
          <w:tcPr>
            <w:tcW w:type="dxa" w:w="4717"/>
            <w:vAlign w:val="center"/>
          </w:tcPr>
          <w:p>
            <w:pPr>
              <w:jc w:val="left"/>
            </w:pPr>
            <w:r>
              <w:rPr>
                <w:rFonts w:ascii="Times New Roman" w:hAnsi="Times New Roman" w:eastAsia="宋体"/>
                <w:b w:val="0"/>
                <w:sz w:val="19"/>
              </w:rPr>
              <w:t>(gᵢⱼ&lt;0)</w:t>
            </w:r>
          </w:p>
        </w:tc>
        <w:tc>
          <w:tcPr>
            <w:tcW w:type="dxa" w:w="4717"/>
            <w:vAlign w:val="center"/>
          </w:tcPr>
          <w:p>
            <w:pPr>
              <w:jc w:val="left"/>
            </w:pPr>
            <w:r>
              <w:rPr>
                <w:rFonts w:ascii="Times New Roman" w:hAnsi="Times New Roman" w:eastAsia="宋体"/>
                <w:b w:val="0"/>
                <w:sz w:val="19"/>
              </w:rPr>
              <w:t>四条候选轴均无分离，矩形发生重叠</w:t>
            </w:r>
          </w:p>
        </w:tc>
      </w:tr>
    </w:tbl>
    <w:p>
      <w:pPr>
        <w:ind w:firstLine="420"/>
      </w:pPr>
      <w:r>
        <w:rPr>
          <w:rFonts w:ascii="Times New Roman" w:hAnsi="Times New Roman" w:eastAsia="宋体"/>
          <w:sz w:val="21"/>
        </w:rPr>
        <w:t>系统全局安全裕度定义为</w:t>
      </w:r>
    </w:p>
    <w:p>
      <w:pPr>
        <w:jc w:val="center"/>
      </w:pPr>
      <w:r>
        <w:drawing>
          <wp:inline xmlns:a="http://schemas.openxmlformats.org/drawingml/2006/main" xmlns:pic="http://schemas.openxmlformats.org/drawingml/2006/picture">
            <wp:extent cx="1915427" cy="466825"/>
            <wp:docPr id="12" name="Picture 12"/>
            <wp:cNvGraphicFramePr>
              <a:graphicFrameLocks noChangeAspect="1"/>
            </wp:cNvGraphicFramePr>
            <a:graphic>
              <a:graphicData uri="http://schemas.openxmlformats.org/drawingml/2006/picture">
                <pic:pic>
                  <pic:nvPicPr>
                    <pic:cNvPr id="0" name="formula-012.png"/>
                    <pic:cNvPicPr/>
                  </pic:nvPicPr>
                  <pic:blipFill>
                    <a:blip r:embed="rId21"/>
                    <a:stretch>
                      <a:fillRect/>
                    </a:stretch>
                  </pic:blipFill>
                  <pic:spPr>
                    <a:xfrm>
                      <a:off x="0" y="0"/>
                      <a:ext cx="1915427" cy="466825"/>
                    </a:xfrm>
                    <a:prstGeom prst="rect"/>
                  </pic:spPr>
                </pic:pic>
              </a:graphicData>
            </a:graphic>
          </wp:inline>
        </w:drawing>
      </w:r>
    </w:p>
    <w:p>
      <w:pPr>
        <w:ind w:firstLine="420"/>
      </w:pPr>
      <w:r>
        <w:rPr>
          <w:rFonts w:ascii="Times New Roman" w:hAnsi="Times New Roman" w:eastAsia="宋体"/>
          <w:sz w:val="21"/>
        </w:rPr>
        <w:t>理论判据为 (G(t)≤0) 时系统发生碰撞。代码实现采用 (10⁻¹⁰, m) 数值容差，将 (gᵢⱼ≤10⁻¹⁰) 的候选计入临界或碰撞集合。</w:t>
      </w:r>
    </w:p>
    <w:p>
      <w:pPr>
        <w:pStyle w:val="Heading2"/>
      </w:pPr>
      <w:r>
        <w:t>4.4 每个时刻的计算步骤</w:t>
      </w:r>
    </w:p>
    <w:p>
      <w:pPr>
        <w:ind w:firstLine="420"/>
      </w:pPr>
      <w:r>
        <w:rPr>
          <w:rFonts w:ascii="Times New Roman" w:hAnsi="Times New Roman" w:eastAsia="宋体"/>
          <w:sz w:val="21"/>
        </w:rPr>
        <w:t>对每个待检查时刻 (t)：</w:t>
      </w:r>
    </w:p>
    <w:p>
      <w:pPr>
        <w:ind w:left="312" w:hanging="198"/>
      </w:pPr>
      <w:r>
        <w:rPr>
          <w:rFonts w:ascii="Times New Roman" w:hAnsi="Times New Roman" w:eastAsia="宋体"/>
          <w:sz w:val="21"/>
        </w:rPr>
        <w:t>1. 调用问题1的时间—位置接口得到224个把手中心；</w:t>
      </w:r>
    </w:p>
    <w:p>
      <w:pPr>
        <w:ind w:left="312" w:hanging="198"/>
      </w:pPr>
      <w:r>
        <w:rPr>
          <w:rFonts w:ascii="Times New Roman" w:hAnsi="Times New Roman" w:eastAsia="宋体"/>
          <w:sz w:val="21"/>
        </w:rPr>
        <w:t>2. 对相邻把手恢复223块有向矩形；</w:t>
      </w:r>
    </w:p>
    <w:p>
      <w:pPr>
        <w:ind w:left="312" w:hanging="198"/>
      </w:pPr>
      <w:r>
        <w:rPr>
          <w:rFonts w:ascii="Times New Roman" w:hAnsi="Times New Roman" w:eastAsia="宋体"/>
          <w:sz w:val="21"/>
        </w:rPr>
        <w:t>3. 生成全部非相邻板对，排除 (|i-j|=1)；</w:t>
      </w:r>
    </w:p>
    <w:p>
      <w:pPr>
        <w:ind w:left="312" w:hanging="198"/>
      </w:pPr>
      <w:r>
        <w:rPr>
          <w:rFonts w:ascii="Times New Roman" w:hAnsi="Times New Roman" w:eastAsia="宋体"/>
          <w:sz w:val="21"/>
        </w:rPr>
        <w:t>4. 对每组候选比较外接圆，严格分离者直接判安全；</w:t>
      </w:r>
    </w:p>
    <w:p>
      <w:pPr>
        <w:ind w:left="312" w:hanging="198"/>
      </w:pPr>
      <w:r>
        <w:rPr>
          <w:rFonts w:ascii="Times New Roman" w:hAnsi="Times New Roman" w:eastAsia="宋体"/>
          <w:sz w:val="21"/>
        </w:rPr>
        <w:t>5. 对圆筛未排除者计算四条SAT轴上的投影裕度；</w:t>
      </w:r>
    </w:p>
    <w:p>
      <w:pPr>
        <w:ind w:left="312" w:hanging="198"/>
      </w:pPr>
      <w:r>
        <w:rPr>
          <w:rFonts w:ascii="Times New Roman" w:hAnsi="Times New Roman" w:eastAsia="宋体"/>
          <w:sz w:val="21"/>
        </w:rPr>
        <w:t>6. 取所有非相邻板对的最小 (gᵢⱼ)，得到 (G(t))；</w:t>
      </w:r>
    </w:p>
    <w:p>
      <w:pPr>
        <w:ind w:left="312" w:hanging="198"/>
      </w:pPr>
      <w:r>
        <w:rPr>
          <w:rFonts w:ascii="Times New Roman" w:hAnsi="Times New Roman" w:eastAsia="宋体"/>
          <w:sz w:val="21"/>
        </w:rPr>
        <w:t>7. 记录碰撞标志、候选板对、圆筛拒绝数和SAT精判数。</w:t>
      </w:r>
    </w:p>
    <w:p>
      <w:pPr>
        <w:pStyle w:val="Heading2"/>
      </w:pPr>
      <w:r>
        <w:t>4.5 首次碰撞时间搜索步骤</w:t>
      </w:r>
    </w:p>
    <w:p>
      <w:pPr>
        <w:ind w:left="312" w:hanging="198"/>
      </w:pPr>
      <w:r>
        <w:rPr>
          <w:rFonts w:ascii="Times New Roman" w:hAnsi="Times New Roman" w:eastAsia="宋体"/>
          <w:sz w:val="21"/>
        </w:rPr>
        <w:t>1. 用 (0.5, s) 步长扫描 (0≤ t≤442, s)；</w:t>
      </w:r>
    </w:p>
    <w:p>
      <w:pPr>
        <w:ind w:left="312" w:hanging="198"/>
      </w:pPr>
      <w:r>
        <w:rPr>
          <w:rFonts w:ascii="Times New Roman" w:hAnsi="Times New Roman" w:eastAsia="宋体"/>
          <w:sz w:val="21"/>
        </w:rPr>
        <w:t>2. 保留所有由 (G(t)&gt;0) 到 (G(t)≤0) 的符号转变；</w:t>
      </w:r>
    </w:p>
    <w:p>
      <w:pPr>
        <w:ind w:left="312" w:hanging="198"/>
      </w:pPr>
      <w:r>
        <w:rPr>
          <w:rFonts w:ascii="Times New Roman" w:hAnsi="Times New Roman" w:eastAsia="宋体"/>
          <w:sz w:val="21"/>
        </w:rPr>
        <w:t>3. 对最早转变区间 ([412.0,412.5], s) 使用Brent方法求解 (G(t)=0)；</w:t>
      </w:r>
    </w:p>
    <w:p>
      <w:pPr>
        <w:ind w:left="312" w:hanging="198"/>
      </w:pPr>
      <w:r>
        <w:rPr>
          <w:rFonts w:ascii="Times New Roman" w:hAnsi="Times New Roman" w:eastAsia="宋体"/>
          <w:sz w:val="21"/>
        </w:rPr>
        <w:t>4. 用 (1, s) 和 (2, s) 粗步长重复扫描，检查精化时间稳定性；</w:t>
      </w:r>
    </w:p>
    <w:p>
      <w:pPr>
        <w:ind w:left="312" w:hanging="198"/>
      </w:pPr>
      <w:r>
        <w:rPr>
          <w:rFonts w:ascii="Times New Roman" w:hAnsi="Times New Roman" w:eastAsia="宋体"/>
          <w:sz w:val="21"/>
        </w:rPr>
        <w:t>5. 在临界前执行 (0.1, s) 完整扫描、(0.05, s) 错位扫描和末段 (0.001, s) 加密扫描，审计粗采样漏检风险；</w:t>
      </w:r>
    </w:p>
    <w:p>
      <w:pPr>
        <w:ind w:left="312" w:hanging="198"/>
      </w:pPr>
      <w:r>
        <w:rPr>
          <w:rFonts w:ascii="Times New Roman" w:hAnsi="Times New Roman" w:eastAsia="宋体"/>
          <w:sz w:val="21"/>
        </w:rPr>
        <w:t>6. 对代表性候选板对用独立Shapely多边形复核接触边界。</w:t>
      </w:r>
    </w:p>
    <w:p>
      <w:pPr>
        <w:pStyle w:val="Heading1"/>
      </w:pPr>
      <w:r>
        <w:t>5. 结果及实际含义</w:t>
      </w:r>
    </w:p>
    <w:p>
      <w:pPr>
        <w:pStyle w:val="Heading2"/>
      </w:pPr>
      <w:r>
        <w:t>5.1 首次临界结果</w:t>
      </w:r>
    </w:p>
    <w:p>
      <w:pPr>
        <w:ind w:firstLine="420"/>
      </w:pPr>
      <w:r>
        <w:rPr>
          <w:rFonts w:ascii="Times New Roman" w:hAnsi="Times New Roman" w:eastAsia="宋体"/>
          <w:sz w:val="21"/>
        </w:rPr>
        <w:t>主扫描得到的最早安全—碰撞区间为</w:t>
      </w:r>
    </w:p>
    <w:p>
      <w:pPr>
        <w:jc w:val="center"/>
      </w:pPr>
      <w:r>
        <w:drawing>
          <wp:inline xmlns:a="http://schemas.openxmlformats.org/drawingml/2006/main" xmlns:pic="http://schemas.openxmlformats.org/drawingml/2006/picture">
            <wp:extent cx="1838425" cy="317634"/>
            <wp:docPr id="13" name="Picture 13"/>
            <wp:cNvGraphicFramePr>
              <a:graphicFrameLocks noChangeAspect="1"/>
            </wp:cNvGraphicFramePr>
            <a:graphic>
              <a:graphicData uri="http://schemas.openxmlformats.org/drawingml/2006/picture">
                <pic:pic>
                  <pic:nvPicPr>
                    <pic:cNvPr id="0" name="formula-013.png"/>
                    <pic:cNvPicPr/>
                  </pic:nvPicPr>
                  <pic:blipFill>
                    <a:blip r:embed="rId22"/>
                    <a:stretch>
                      <a:fillRect/>
                    </a:stretch>
                  </pic:blipFill>
                  <pic:spPr>
                    <a:xfrm>
                      <a:off x="0" y="0"/>
                      <a:ext cx="1838425" cy="317634"/>
                    </a:xfrm>
                    <a:prstGeom prst="rect"/>
                  </pic:spPr>
                </pic:pic>
              </a:graphicData>
            </a:graphic>
          </wp:inline>
        </w:drawing>
      </w:r>
    </w:p>
    <w:p>
      <w:pPr>
        <w:ind w:firstLine="420"/>
      </w:pPr>
      <w:r>
        <w:rPr>
          <w:rFonts w:ascii="Times New Roman" w:hAnsi="Times New Roman" w:eastAsia="宋体"/>
          <w:sz w:val="21"/>
        </w:rPr>
        <w:t>Brent精化得到</w:t>
      </w:r>
    </w:p>
    <w:p>
      <w:pPr>
        <w:jc w:val="center"/>
      </w:pPr>
      <w:r>
        <w:drawing>
          <wp:inline xmlns:a="http://schemas.openxmlformats.org/drawingml/2006/main" xmlns:pic="http://schemas.openxmlformats.org/drawingml/2006/picture">
            <wp:extent cx="2800951" cy="317634"/>
            <wp:docPr id="14" name="Picture 14"/>
            <wp:cNvGraphicFramePr>
              <a:graphicFrameLocks noChangeAspect="1"/>
            </wp:cNvGraphicFramePr>
            <a:graphic>
              <a:graphicData uri="http://schemas.openxmlformats.org/drawingml/2006/picture">
                <pic:pic>
                  <pic:nvPicPr>
                    <pic:cNvPr id="0" name="formula-014.png"/>
                    <pic:cNvPicPr/>
                  </pic:nvPicPr>
                  <pic:blipFill>
                    <a:blip r:embed="rId23"/>
                    <a:stretch>
                      <a:fillRect/>
                    </a:stretch>
                  </pic:blipFill>
                  <pic:spPr>
                    <a:xfrm>
                      <a:off x="0" y="0"/>
                      <a:ext cx="2800951" cy="317634"/>
                    </a:xfrm>
                    <a:prstGeom prst="rect"/>
                  </pic:spPr>
                </pic:pic>
              </a:graphicData>
            </a:graphic>
          </wp:inline>
        </w:drawing>
      </w:r>
    </w:p>
    <w:p>
      <w:pPr>
        <w:ind w:firstLine="420"/>
      </w:pPr>
      <w:r>
        <w:rPr>
          <w:rFonts w:ascii="Times New Roman" w:hAnsi="Times New Roman" w:eastAsia="宋体"/>
          <w:sz w:val="21"/>
        </w:rPr>
        <w:t>临界时刻全局裕度为</w:t>
      </w:r>
    </w:p>
    <w:p>
      <w:pPr>
        <w:jc w:val="center"/>
      </w:pPr>
      <w:r>
        <w:drawing>
          <wp:inline xmlns:a="http://schemas.openxmlformats.org/drawingml/2006/main" xmlns:pic="http://schemas.openxmlformats.org/drawingml/2006/picture">
            <wp:extent cx="3185962" cy="332072"/>
            <wp:docPr id="15" name="Picture 15"/>
            <wp:cNvGraphicFramePr>
              <a:graphicFrameLocks noChangeAspect="1"/>
            </wp:cNvGraphicFramePr>
            <a:graphic>
              <a:graphicData uri="http://schemas.openxmlformats.org/drawingml/2006/picture">
                <pic:pic>
                  <pic:nvPicPr>
                    <pic:cNvPr id="0" name="formula-015.png"/>
                    <pic:cNvPicPr/>
                  </pic:nvPicPr>
                  <pic:blipFill>
                    <a:blip r:embed="rId24"/>
                    <a:stretch>
                      <a:fillRect/>
                    </a:stretch>
                  </pic:blipFill>
                  <pic:spPr>
                    <a:xfrm>
                      <a:off x="0" y="0"/>
                      <a:ext cx="3185962" cy="332072"/>
                    </a:xfrm>
                    <a:prstGeom prst="rect"/>
                  </pic:spPr>
                </pic:pic>
              </a:graphicData>
            </a:graphic>
          </wp:inline>
        </w:drawing>
      </w:r>
    </w:p>
    <w:p>
      <w:pPr>
        <w:ind w:firstLine="420"/>
      </w:pPr>
      <w:r>
        <w:rPr>
          <w:rFonts w:ascii="Times New Roman" w:hAnsi="Times New Roman" w:eastAsia="宋体"/>
          <w:sz w:val="21"/>
        </w:rPr>
        <w:t>数值上等于零。首次代表性候选板对为代码索引 ((0,8))，换成论文编号为第 (1) 块和第 (9) 块板凳；两者相差8块，属于非相邻板对。</w:t>
      </w:r>
    </w:p>
    <w:p>
      <w:pPr>
        <w:ind w:firstLine="420"/>
      </w:pPr>
      <w:r>
        <w:rPr>
          <w:rFonts w:ascii="Times New Roman" w:hAnsi="Times New Roman" w:eastAsia="宋体"/>
          <w:sz w:val="21"/>
        </w:rPr>
        <w:t>在临界时刻，24531组非相邻板对中有23272组被外接圆初筛直接排除，1259组进入SAT精判。这个统计说明初筛承担了主要的安全排除工作，但最终临界判断仍由SAT完成。</w:t>
      </w:r>
    </w:p>
    <w:p>
      <w:r>
        <w:br w:type="page"/>
      </w:r>
    </w:p>
    <w:p>
      <w:pPr>
        <w:pStyle w:val="Heading2"/>
      </w:pPr>
      <w:r>
        <w:t>5.2 漏检审计和时间稳定性</w:t>
      </w:r>
    </w:p>
    <w:tbl>
      <w:tblPr>
        <w:tblStyle w:val="TableGrid"/>
        <w:tblW w:type="auto" w:w="0"/>
        <w:tblLook w:firstColumn="1" w:firstRow="1" w:lastColumn="0" w:lastRow="0" w:noHBand="0" w:noVBand="1" w:val="04A0"/>
      </w:tblPr>
      <w:tblGrid>
        <w:gridCol w:w="3145"/>
        <w:gridCol w:w="3145"/>
        <w:gridCol w:w="3145"/>
      </w:tblGrid>
      <w:tr>
        <w:tc>
          <w:tcPr>
            <w:tcW w:type="dxa" w:w="3145"/>
            <w:vAlign w:val="center"/>
          </w:tcPr>
          <w:p>
            <w:pPr>
              <w:jc w:val="center"/>
              <w:shd w:fill="DCE6F1"/>
            </w:pPr>
            <w:r>
              <w:rPr>
                <w:rFonts w:ascii="Times New Roman" w:hAnsi="Times New Roman" w:eastAsia="宋体"/>
                <w:b/>
                <w:sz w:val="19"/>
              </w:rPr>
              <w:t>检查方式</w:t>
            </w:r>
          </w:p>
        </w:tc>
        <w:tc>
          <w:tcPr>
            <w:tcW w:type="dxa" w:w="3145"/>
            <w:vAlign w:val="center"/>
          </w:tcPr>
          <w:p>
            <w:pPr>
              <w:jc w:val="center"/>
              <w:shd w:fill="DCE6F1"/>
            </w:pPr>
            <w:r>
              <w:rPr>
                <w:rFonts w:ascii="Times New Roman" w:hAnsi="Times New Roman" w:eastAsia="宋体"/>
                <w:b/>
                <w:sz w:val="19"/>
              </w:rPr>
              <w:t>结果</w:t>
            </w:r>
          </w:p>
        </w:tc>
        <w:tc>
          <w:tcPr>
            <w:tcW w:type="dxa" w:w="3145"/>
            <w:vAlign w:val="center"/>
          </w:tcPr>
          <w:p>
            <w:pPr>
              <w:jc w:val="center"/>
              <w:shd w:fill="DCE6F1"/>
            </w:pPr>
            <w:r>
              <w:rPr>
                <w:rFonts w:ascii="Times New Roman" w:hAnsi="Times New Roman" w:eastAsia="宋体"/>
                <w:b/>
                <w:sz w:val="19"/>
              </w:rPr>
              <w:t>说明</w:t>
            </w:r>
          </w:p>
        </w:tc>
      </w:tr>
      <w:tr>
        <w:tc>
          <w:tcPr>
            <w:tcW w:type="dxa" w:w="3145"/>
            <w:vAlign w:val="center"/>
          </w:tcPr>
          <w:p>
            <w:pPr>
              <w:jc w:val="left"/>
            </w:pPr>
            <w:r>
              <w:rPr>
                <w:rFonts w:ascii="Times New Roman" w:hAnsi="Times New Roman" w:eastAsia="宋体"/>
                <w:b w:val="0"/>
                <w:sz w:val="19"/>
              </w:rPr>
              <w:t>(0.5, s)主扫描</w:t>
            </w:r>
          </w:p>
        </w:tc>
        <w:tc>
          <w:tcPr>
            <w:tcW w:type="dxa" w:w="3145"/>
            <w:vAlign w:val="center"/>
          </w:tcPr>
          <w:p>
            <w:pPr>
              <w:jc w:val="left"/>
            </w:pPr>
            <w:r>
              <w:rPr>
                <w:rFonts w:ascii="Times New Roman" w:hAnsi="Times New Roman" w:eastAsia="宋体"/>
                <w:b w:val="0"/>
                <w:sz w:val="19"/>
              </w:rPr>
              <w:t>([412.0,412.5] s</w:t>
            </w:r>
          </w:p>
        </w:tc>
        <w:tc>
          <w:tcPr>
            <w:tcW w:type="dxa" w:w="3145"/>
            <w:vAlign w:val="center"/>
          </w:tcPr>
          <w:p>
            <w:pPr>
              <w:jc w:val="left"/>
            </w:pPr>
            <w:r>
              <w:rPr>
                <w:rFonts w:ascii="Times New Roman" w:hAnsi="Times New Roman" w:eastAsia="宋体"/>
                <w:b w:val="0"/>
                <w:sz w:val="19"/>
              </w:rPr>
              <w:t>锁定首次转变</w:t>
            </w:r>
          </w:p>
        </w:tc>
      </w:tr>
      <w:tr>
        <w:tc>
          <w:tcPr>
            <w:tcW w:type="dxa" w:w="3145"/>
            <w:vAlign w:val="center"/>
          </w:tcPr>
          <w:p>
            <w:pPr>
              <w:jc w:val="left"/>
            </w:pPr>
            <w:r>
              <w:rPr>
                <w:rFonts w:ascii="Times New Roman" w:hAnsi="Times New Roman" w:eastAsia="宋体"/>
                <w:b w:val="0"/>
                <w:sz w:val="19"/>
              </w:rPr>
              <w:t>(1.0, s)复核</w:t>
            </w:r>
          </w:p>
        </w:tc>
        <w:tc>
          <w:tcPr>
            <w:tcW w:type="dxa" w:w="3145"/>
            <w:vAlign w:val="center"/>
          </w:tcPr>
          <w:p>
            <w:pPr>
              <w:jc w:val="left"/>
            </w:pPr>
            <w:r>
              <w:rPr>
                <w:rFonts w:ascii="Times New Roman" w:hAnsi="Times New Roman" w:eastAsia="宋体"/>
                <w:b w:val="0"/>
                <w:sz w:val="19"/>
              </w:rPr>
              <w:t>(412.4738376821 s</w:t>
            </w:r>
          </w:p>
        </w:tc>
        <w:tc>
          <w:tcPr>
            <w:tcW w:type="dxa" w:w="3145"/>
            <w:vAlign w:val="center"/>
          </w:tcPr>
          <w:p>
            <w:pPr>
              <w:jc w:val="left"/>
            </w:pPr>
            <w:r>
              <w:rPr>
                <w:rFonts w:ascii="Times New Roman" w:hAnsi="Times New Roman" w:eastAsia="宋体"/>
                <w:b w:val="0"/>
                <w:sz w:val="19"/>
              </w:rPr>
              <w:t>与主结果差 (4.5×10⁻¹³ s</w:t>
            </w:r>
          </w:p>
        </w:tc>
      </w:tr>
      <w:tr>
        <w:tc>
          <w:tcPr>
            <w:tcW w:type="dxa" w:w="3145"/>
            <w:vAlign w:val="center"/>
          </w:tcPr>
          <w:p>
            <w:pPr>
              <w:jc w:val="left"/>
            </w:pPr>
            <w:r>
              <w:rPr>
                <w:rFonts w:ascii="Times New Roman" w:hAnsi="Times New Roman" w:eastAsia="宋体"/>
                <w:b w:val="0"/>
                <w:sz w:val="19"/>
              </w:rPr>
              <w:t>(2.0, s)复核</w:t>
            </w:r>
          </w:p>
        </w:tc>
        <w:tc>
          <w:tcPr>
            <w:tcW w:type="dxa" w:w="3145"/>
            <w:vAlign w:val="center"/>
          </w:tcPr>
          <w:p>
            <w:pPr>
              <w:jc w:val="left"/>
            </w:pPr>
            <w:r>
              <w:rPr>
                <w:rFonts w:ascii="Times New Roman" w:hAnsi="Times New Roman" w:eastAsia="宋体"/>
                <w:b w:val="0"/>
                <w:sz w:val="19"/>
              </w:rPr>
              <w:t>(412.4738376821 s</w:t>
            </w:r>
          </w:p>
        </w:tc>
        <w:tc>
          <w:tcPr>
            <w:tcW w:type="dxa" w:w="3145"/>
            <w:vAlign w:val="center"/>
          </w:tcPr>
          <w:p>
            <w:pPr>
              <w:jc w:val="left"/>
            </w:pPr>
            <w:r>
              <w:rPr>
                <w:rFonts w:ascii="Times New Roman" w:hAnsi="Times New Roman" w:eastAsia="宋体"/>
                <w:b w:val="0"/>
                <w:sz w:val="19"/>
              </w:rPr>
              <w:t>与主结果差 (2.3×10⁻¹³ s</w:t>
            </w:r>
          </w:p>
        </w:tc>
      </w:tr>
      <w:tr>
        <w:tc>
          <w:tcPr>
            <w:tcW w:type="dxa" w:w="3145"/>
            <w:vAlign w:val="center"/>
          </w:tcPr>
          <w:p>
            <w:pPr>
              <w:jc w:val="left"/>
            </w:pPr>
            <w:r>
              <w:rPr>
                <w:rFonts w:ascii="Times New Roman" w:hAnsi="Times New Roman" w:eastAsia="宋体"/>
                <w:b w:val="0"/>
                <w:sz w:val="19"/>
              </w:rPr>
              <w:t>(0.1, s)完整扫描</w:t>
            </w:r>
          </w:p>
        </w:tc>
        <w:tc>
          <w:tcPr>
            <w:tcW w:type="dxa" w:w="3145"/>
            <w:vAlign w:val="center"/>
          </w:tcPr>
          <w:p>
            <w:pPr>
              <w:jc w:val="left"/>
            </w:pPr>
            <w:r>
              <w:rPr>
                <w:rFonts w:ascii="Times New Roman" w:hAnsi="Times New Roman" w:eastAsia="宋体"/>
                <w:b w:val="0"/>
                <w:sz w:val="19"/>
              </w:rPr>
              <w:t>唯一转变区间 ([412.4,412.5] s</w:t>
            </w:r>
          </w:p>
        </w:tc>
        <w:tc>
          <w:tcPr>
            <w:tcW w:type="dxa" w:w="3145"/>
            <w:vAlign w:val="center"/>
          </w:tcPr>
          <w:p>
            <w:pPr>
              <w:jc w:val="left"/>
            </w:pPr>
            <w:r>
              <w:rPr>
                <w:rFonts w:ascii="Times New Roman" w:hAnsi="Times New Roman" w:eastAsia="宋体"/>
                <w:b w:val="0"/>
                <w:sz w:val="19"/>
              </w:rPr>
              <w:t>覆盖 (0—(412.5 s</w:t>
            </w:r>
          </w:p>
        </w:tc>
      </w:tr>
      <w:tr>
        <w:tc>
          <w:tcPr>
            <w:tcW w:type="dxa" w:w="3145"/>
            <w:vAlign w:val="center"/>
          </w:tcPr>
          <w:p>
            <w:pPr>
              <w:jc w:val="left"/>
            </w:pPr>
            <w:r>
              <w:rPr>
                <w:rFonts w:ascii="Times New Roman" w:hAnsi="Times New Roman" w:eastAsia="宋体"/>
                <w:b w:val="0"/>
                <w:sz w:val="19"/>
              </w:rPr>
              <w:t>临界前局部极小审计</w:t>
            </w:r>
          </w:p>
        </w:tc>
        <w:tc>
          <w:tcPr>
            <w:tcW w:type="dxa" w:w="3145"/>
            <w:vAlign w:val="center"/>
          </w:tcPr>
          <w:p>
            <w:pPr>
              <w:jc w:val="left"/>
            </w:pPr>
            <w:r>
              <w:rPr>
                <w:rFonts w:ascii="Times New Roman" w:hAnsi="Times New Roman" w:eastAsia="宋体"/>
                <w:b w:val="0"/>
                <w:sz w:val="19"/>
              </w:rPr>
              <w:t>最小精化裕度 (8.65235×10⁻⁴ m</w:t>
            </w:r>
          </w:p>
        </w:tc>
        <w:tc>
          <w:tcPr>
            <w:tcW w:type="dxa" w:w="3145"/>
            <w:vAlign w:val="center"/>
          </w:tcPr>
          <w:p>
            <w:pPr>
              <w:jc w:val="left"/>
            </w:pPr>
            <w:r>
              <w:rPr>
                <w:rFonts w:ascii="Times New Roman" w:hAnsi="Times New Roman" w:eastAsia="宋体"/>
                <w:b w:val="0"/>
                <w:sz w:val="19"/>
              </w:rPr>
              <w:t>位于 (409.8319894 s，仍为正</w:t>
            </w:r>
          </w:p>
        </w:tc>
      </w:tr>
      <w:tr>
        <w:tc>
          <w:tcPr>
            <w:tcW w:type="dxa" w:w="3145"/>
            <w:vAlign w:val="center"/>
          </w:tcPr>
          <w:p>
            <w:pPr>
              <w:jc w:val="left"/>
            </w:pPr>
            <w:r>
              <w:rPr>
                <w:rFonts w:ascii="Times New Roman" w:hAnsi="Times New Roman" w:eastAsia="宋体"/>
                <w:b w:val="0"/>
                <w:sz w:val="19"/>
              </w:rPr>
              <w:t>(0.05, s)错位网格</w:t>
            </w:r>
          </w:p>
        </w:tc>
        <w:tc>
          <w:tcPr>
            <w:tcW w:type="dxa" w:w="3145"/>
            <w:vAlign w:val="center"/>
          </w:tcPr>
          <w:p>
            <w:pPr>
              <w:jc w:val="left"/>
            </w:pPr>
            <w:r>
              <w:rPr>
                <w:rFonts w:ascii="Times New Roman" w:hAnsi="Times New Roman" w:eastAsia="宋体"/>
                <w:b w:val="0"/>
                <w:sz w:val="19"/>
              </w:rPr>
              <w:t>最小裕度 (8.67767×10⁻⁴ m</w:t>
            </w:r>
          </w:p>
        </w:tc>
        <w:tc>
          <w:tcPr>
            <w:tcW w:type="dxa" w:w="3145"/>
            <w:vAlign w:val="center"/>
          </w:tcPr>
          <w:p>
            <w:pPr>
              <w:jc w:val="left"/>
            </w:pPr>
            <w:r>
              <w:rPr>
                <w:rFonts w:ascii="Times New Roman" w:hAnsi="Times New Roman" w:eastAsia="宋体"/>
                <w:b w:val="0"/>
                <w:sz w:val="19"/>
              </w:rPr>
              <w:t>未发现采样相位导致的早期碰撞</w:t>
            </w:r>
          </w:p>
        </w:tc>
      </w:tr>
      <w:tr>
        <w:tc>
          <w:tcPr>
            <w:tcW w:type="dxa" w:w="3145"/>
            <w:vAlign w:val="center"/>
          </w:tcPr>
          <w:p>
            <w:pPr>
              <w:jc w:val="left"/>
            </w:pPr>
            <w:r>
              <w:rPr>
                <w:rFonts w:ascii="Times New Roman" w:hAnsi="Times New Roman" w:eastAsia="宋体"/>
                <w:b w:val="0"/>
                <w:sz w:val="19"/>
              </w:rPr>
              <w:t>(0.001, s)末段扫描</w:t>
            </w:r>
          </w:p>
        </w:tc>
        <w:tc>
          <w:tcPr>
            <w:tcW w:type="dxa" w:w="3145"/>
            <w:vAlign w:val="center"/>
          </w:tcPr>
          <w:p>
            <w:pPr>
              <w:jc w:val="left"/>
            </w:pPr>
            <w:r>
              <w:rPr>
                <w:rFonts w:ascii="Times New Roman" w:hAnsi="Times New Roman" w:eastAsia="宋体"/>
                <w:b w:val="0"/>
                <w:sz w:val="19"/>
              </w:rPr>
              <w:t>唯一跨越 ([412.473,412.474] s</w:t>
            </w:r>
          </w:p>
        </w:tc>
        <w:tc>
          <w:tcPr>
            <w:tcW w:type="dxa" w:w="3145"/>
            <w:vAlign w:val="center"/>
          </w:tcPr>
          <w:p>
            <w:pPr>
              <w:jc w:val="left"/>
            </w:pPr>
            <w:r>
              <w:rPr>
                <w:rFonts w:ascii="Times New Roman" w:hAnsi="Times New Roman" w:eastAsia="宋体"/>
                <w:b w:val="0"/>
                <w:sz w:val="19"/>
              </w:rPr>
              <w:t>与精化结果一致</w:t>
            </w:r>
          </w:p>
        </w:tc>
      </w:tr>
    </w:tbl>
    <w:p>
      <w:pPr>
        <w:ind w:firstLine="420"/>
      </w:pPr>
      <w:r>
        <w:rPr>
          <w:rFonts w:ascii="Times New Roman" w:hAnsi="Times New Roman" w:eastAsia="宋体"/>
          <w:sz w:val="21"/>
        </w:rPr>
        <w:t>因此，当前运行证据不支持 (412.4738376821, s) 之前存在未被发现的窄碰撞区间。需要强调的是，后续约 (436, s) 以后还出现了新的安全—碰撞转变，说明 (G(t)) 不是全程单调下降；本问只报告首次临界时间。</w:t>
      </w:r>
    </w:p>
    <w:p>
      <w:pPr>
        <w:pStyle w:val="Heading2"/>
      </w:pPr>
      <w:r>
        <w:t>5.3 碰撞结论的统一表述</w:t>
      </w:r>
    </w:p>
    <w:p>
      <w:pPr>
        <w:ind w:firstLine="420"/>
      </w:pPr>
      <w:r>
        <w:t>统一论文表述：</w:t>
      </w:r>
    </w:p>
    <w:p>
      <w:pPr>
        <w:ind w:left="340"/>
        <w:shd w:fill="F2F2F2"/>
      </w:pPr>
      <w:r>
        <w:rPr>
          <w:rFonts w:ascii="Times New Roman" w:hAnsi="Times New Roman" w:eastAsia="宋体"/>
          <w:i/>
          <w:sz w:val="21"/>
        </w:rPr>
        <w:t>按照“拓扑排除—外接圆安全初筛—SAT精判”的二维实体矩形模型，沿问题1的盘入轨迹，板凳龙在 (t=412.4738376821, s) 首次达到碰撞临界。此时检测到至少一组非相邻板凳发生接触，代表性候选为第1块与第9块板凳。</w:t>
      </w:r>
    </w:p>
    <w:p>
      <w:pPr>
        <w:ind w:firstLine="420"/>
      </w:pPr>
      <w:r>
        <w:rPr>
          <w:rFonts w:ascii="Times New Roman" w:hAnsi="Times New Roman" w:eastAsia="宋体"/>
          <w:sz w:val="21"/>
        </w:rPr>
        <w:t>内部计算保留同一时刻的全部候选板对；最终叙述不把二维投影结果强行解释为三维真实情况下唯一先撞的板凳。只要存在一组禁忌板对达到临界，系统层面就判定“发生碰撞”。</w:t>
      </w:r>
    </w:p>
    <w:p>
      <w:pPr>
        <w:pStyle w:val="Heading1"/>
      </w:pPr>
      <w:r>
        <w:t>6. 检验、局限与下一问接口</w:t>
      </w:r>
    </w:p>
    <w:p>
      <w:pPr>
        <w:pStyle w:val="Heading2"/>
      </w:pPr>
      <w:r>
        <w:t>6.1 核心验证结果</w:t>
      </w:r>
    </w:p>
    <w:tbl>
      <w:tblPr>
        <w:tblStyle w:val="TableGrid"/>
        <w:tblW w:type="auto" w:w="0"/>
        <w:tblLook w:firstColumn="1" w:firstRow="1" w:lastColumn="0" w:lastRow="0" w:noHBand="0" w:noVBand="1" w:val="04A0"/>
      </w:tblPr>
      <w:tblGrid>
        <w:gridCol w:w="3145"/>
        <w:gridCol w:w="3145"/>
        <w:gridCol w:w="3145"/>
      </w:tblGrid>
      <w:tr>
        <w:tc>
          <w:tcPr>
            <w:tcW w:type="dxa" w:w="3145"/>
            <w:vAlign w:val="center"/>
          </w:tcPr>
          <w:p>
            <w:pPr>
              <w:jc w:val="center"/>
              <w:shd w:fill="DCE6F1"/>
            </w:pPr>
            <w:r>
              <w:rPr>
                <w:rFonts w:ascii="Times New Roman" w:hAnsi="Times New Roman" w:eastAsia="宋体"/>
                <w:b/>
                <w:sz w:val="19"/>
              </w:rPr>
              <w:t>检查项</w:t>
            </w:r>
          </w:p>
        </w:tc>
        <w:tc>
          <w:tcPr>
            <w:tcW w:type="dxa" w:w="3145"/>
            <w:vAlign w:val="center"/>
          </w:tcPr>
          <w:p>
            <w:pPr>
              <w:jc w:val="center"/>
              <w:shd w:fill="DCE6F1"/>
            </w:pPr>
            <w:r>
              <w:rPr>
                <w:rFonts w:ascii="Times New Roman" w:hAnsi="Times New Roman" w:eastAsia="宋体"/>
                <w:b/>
                <w:sz w:val="19"/>
              </w:rPr>
              <w:t>结果</w:t>
            </w:r>
          </w:p>
        </w:tc>
        <w:tc>
          <w:tcPr>
            <w:tcW w:type="dxa" w:w="3145"/>
            <w:vAlign w:val="center"/>
          </w:tcPr>
          <w:p>
            <w:pPr>
              <w:jc w:val="center"/>
              <w:shd w:fill="DCE6F1"/>
            </w:pPr>
            <w:r>
              <w:rPr>
                <w:rFonts w:ascii="Times New Roman" w:hAnsi="Times New Roman" w:eastAsia="宋体"/>
                <w:b/>
                <w:sz w:val="19"/>
              </w:rPr>
              <w:t>说明</w:t>
            </w:r>
          </w:p>
        </w:tc>
      </w:tr>
      <w:tr>
        <w:tc>
          <w:tcPr>
            <w:tcW w:type="dxa" w:w="3145"/>
            <w:vAlign w:val="center"/>
          </w:tcPr>
          <w:p>
            <w:pPr>
              <w:jc w:val="left"/>
            </w:pPr>
            <w:r>
              <w:rPr>
                <w:rFonts w:ascii="Times New Roman" w:hAnsi="Times New Roman" w:eastAsia="宋体"/>
                <w:b w:val="0"/>
                <w:sz w:val="19"/>
              </w:rPr>
              <w:t>把手中心/板凳数量</w:t>
            </w:r>
          </w:p>
        </w:tc>
        <w:tc>
          <w:tcPr>
            <w:tcW w:type="dxa" w:w="3145"/>
            <w:vAlign w:val="center"/>
          </w:tcPr>
          <w:p>
            <w:pPr>
              <w:jc w:val="left"/>
            </w:pPr>
            <w:r>
              <w:rPr>
                <w:rFonts w:ascii="Times New Roman" w:hAnsi="Times New Roman" w:eastAsia="宋体"/>
                <w:b w:val="0"/>
                <w:sz w:val="19"/>
              </w:rPr>
              <w:t>224/223</w:t>
            </w:r>
          </w:p>
        </w:tc>
        <w:tc>
          <w:tcPr>
            <w:tcW w:type="dxa" w:w="3145"/>
            <w:vAlign w:val="center"/>
          </w:tcPr>
          <w:p>
            <w:pPr>
              <w:jc w:val="left"/>
            </w:pPr>
            <w:r>
              <w:rPr>
                <w:rFonts w:ascii="Times New Roman" w:hAnsi="Times New Roman" w:eastAsia="宋体"/>
                <w:b w:val="0"/>
                <w:sz w:val="19"/>
              </w:rPr>
              <w:t>与题面实体数量一致</w:t>
            </w:r>
          </w:p>
        </w:tc>
      </w:tr>
      <w:tr>
        <w:tc>
          <w:tcPr>
            <w:tcW w:type="dxa" w:w="3145"/>
            <w:vAlign w:val="center"/>
          </w:tcPr>
          <w:p>
            <w:pPr>
              <w:jc w:val="left"/>
            </w:pPr>
            <w:r>
              <w:rPr>
                <w:rFonts w:ascii="Times New Roman" w:hAnsi="Times New Roman" w:eastAsia="宋体"/>
                <w:b w:val="0"/>
                <w:sz w:val="19"/>
              </w:rPr>
              <w:t>非相邻候选板对</w:t>
            </w:r>
          </w:p>
        </w:tc>
        <w:tc>
          <w:tcPr>
            <w:tcW w:type="dxa" w:w="3145"/>
            <w:vAlign w:val="center"/>
          </w:tcPr>
          <w:p>
            <w:pPr>
              <w:jc w:val="left"/>
            </w:pPr>
            <w:r>
              <w:rPr>
                <w:rFonts w:ascii="Times New Roman" w:hAnsi="Times New Roman" w:eastAsia="宋体"/>
                <w:b w:val="0"/>
                <w:sz w:val="19"/>
              </w:rPr>
              <w:t>24531</w:t>
            </w:r>
          </w:p>
        </w:tc>
        <w:tc>
          <w:tcPr>
            <w:tcW w:type="dxa" w:w="3145"/>
            <w:vAlign w:val="center"/>
          </w:tcPr>
          <w:p>
            <w:pPr>
              <w:jc w:val="left"/>
            </w:pPr>
            <w:r>
              <w:rPr>
                <w:rFonts w:ascii="Times New Roman" w:hAnsi="Times New Roman" w:eastAsia="宋体"/>
                <w:b w:val="0"/>
                <w:sz w:val="19"/>
              </w:rPr>
              <w:t>223块板凳的两两组合扣除222组相邻板对</w:t>
            </w:r>
          </w:p>
        </w:tc>
      </w:tr>
      <w:tr>
        <w:tc>
          <w:tcPr>
            <w:tcW w:type="dxa" w:w="3145"/>
            <w:vAlign w:val="center"/>
          </w:tcPr>
          <w:p>
            <w:pPr>
              <w:jc w:val="left"/>
            </w:pPr>
            <w:r>
              <w:rPr>
                <w:rFonts w:ascii="Times New Roman" w:hAnsi="Times New Roman" w:eastAsia="宋体"/>
                <w:b w:val="0"/>
                <w:sz w:val="19"/>
              </w:rPr>
              <w:t>临界全局裕度</w:t>
            </w:r>
          </w:p>
        </w:tc>
        <w:tc>
          <w:tcPr>
            <w:tcW w:type="dxa" w:w="3145"/>
            <w:vAlign w:val="center"/>
          </w:tcPr>
          <w:p>
            <w:pPr>
              <w:jc w:val="left"/>
            </w:pPr>
            <w:r>
              <w:rPr>
                <w:rFonts w:ascii="Times New Roman" w:hAnsi="Times New Roman" w:eastAsia="宋体"/>
                <w:b w:val="0"/>
                <w:sz w:val="19"/>
              </w:rPr>
              <w:t>(-3.8580250×10⁻¹⁵) m</w:t>
            </w:r>
          </w:p>
        </w:tc>
        <w:tc>
          <w:tcPr>
            <w:tcW w:type="dxa" w:w="3145"/>
            <w:vAlign w:val="center"/>
          </w:tcPr>
          <w:p>
            <w:pPr>
              <w:jc w:val="left"/>
            </w:pPr>
            <w:r>
              <w:rPr>
                <w:rFonts w:ascii="Times New Roman" w:hAnsi="Times New Roman" w:eastAsia="宋体"/>
                <w:b w:val="0"/>
                <w:sz w:val="19"/>
              </w:rPr>
              <w:t>达到数值零</w:t>
            </w:r>
          </w:p>
        </w:tc>
      </w:tr>
      <w:tr>
        <w:tc>
          <w:tcPr>
            <w:tcW w:type="dxa" w:w="3145"/>
            <w:vAlign w:val="center"/>
          </w:tcPr>
          <w:p>
            <w:pPr>
              <w:jc w:val="left"/>
            </w:pPr>
            <w:r>
              <w:rPr>
                <w:rFonts w:ascii="Times New Roman" w:hAnsi="Times New Roman" w:eastAsia="宋体"/>
                <w:b w:val="0"/>
                <w:sz w:val="19"/>
              </w:rPr>
              <w:t>1 s/2 s精化稳定性</w:t>
            </w:r>
          </w:p>
        </w:tc>
        <w:tc>
          <w:tcPr>
            <w:tcW w:type="dxa" w:w="3145"/>
            <w:vAlign w:val="center"/>
          </w:tcPr>
          <w:p>
            <w:pPr>
              <w:jc w:val="left"/>
            </w:pPr>
            <w:r>
              <w:rPr>
                <w:rFonts w:ascii="Times New Roman" w:hAnsi="Times New Roman" w:eastAsia="宋体"/>
                <w:b w:val="0"/>
                <w:sz w:val="19"/>
              </w:rPr>
              <w:t>差值均小于 (5×10⁻¹³ s</w:t>
            </w:r>
          </w:p>
        </w:tc>
        <w:tc>
          <w:tcPr>
            <w:tcW w:type="dxa" w:w="3145"/>
            <w:vAlign w:val="center"/>
          </w:tcPr>
          <w:p>
            <w:pPr>
              <w:jc w:val="left"/>
            </w:pPr>
            <w:r>
              <w:rPr>
                <w:rFonts w:ascii="Times New Roman" w:hAnsi="Times New Roman" w:eastAsia="宋体"/>
                <w:b w:val="0"/>
                <w:sz w:val="19"/>
              </w:rPr>
              <w:t>时间搜索稳定</w:t>
            </w:r>
          </w:p>
        </w:tc>
      </w:tr>
      <w:tr>
        <w:tc>
          <w:tcPr>
            <w:tcW w:type="dxa" w:w="3145"/>
            <w:vAlign w:val="center"/>
          </w:tcPr>
          <w:p>
            <w:pPr>
              <w:jc w:val="left"/>
            </w:pPr>
            <w:r>
              <w:rPr>
                <w:rFonts w:ascii="Times New Roman" w:hAnsi="Times New Roman" w:eastAsia="宋体"/>
                <w:b w:val="0"/>
                <w:sz w:val="19"/>
              </w:rPr>
              <w:t>独立多边形复核</w:t>
            </w:r>
          </w:p>
        </w:tc>
        <w:tc>
          <w:tcPr>
            <w:tcW w:type="dxa" w:w="3145"/>
            <w:vAlign w:val="center"/>
          </w:tcPr>
          <w:p>
            <w:pPr>
              <w:jc w:val="left"/>
            </w:pPr>
            <w:r>
              <w:rPr>
                <w:rFonts w:ascii="Times New Roman" w:hAnsi="Times New Roman" w:eastAsia="宋体"/>
                <w:b w:val="0"/>
                <w:sz w:val="19"/>
              </w:rPr>
              <w:t>临界前距离 (2.632153×10⁻⁶ m；临界后交集面积 (6.938522×10⁻¹² m²</w:t>
            </w:r>
          </w:p>
        </w:tc>
        <w:tc>
          <w:tcPr>
            <w:tcW w:type="dxa" w:w="3145"/>
            <w:vAlign w:val="center"/>
          </w:tcPr>
          <w:p>
            <w:pPr>
              <w:jc w:val="left"/>
            </w:pPr>
            <w:r>
              <w:rPr>
                <w:rFonts w:ascii="Times New Roman" w:hAnsi="Times New Roman" w:eastAsia="宋体"/>
                <w:b w:val="0"/>
                <w:sz w:val="19"/>
              </w:rPr>
              <w:t>与SAT符号转变一致</w:t>
            </w:r>
          </w:p>
        </w:tc>
      </w:tr>
      <w:tr>
        <w:tc>
          <w:tcPr>
            <w:tcW w:type="dxa" w:w="3145"/>
            <w:vAlign w:val="center"/>
          </w:tcPr>
          <w:p>
            <w:pPr>
              <w:jc w:val="left"/>
            </w:pPr>
            <w:r>
              <w:rPr>
                <w:rFonts w:ascii="Times New Roman" w:hAnsi="Times New Roman" w:eastAsia="宋体"/>
                <w:b w:val="0"/>
                <w:sz w:val="19"/>
              </w:rPr>
              <w:t>临界前最小精化裕度</w:t>
            </w:r>
          </w:p>
        </w:tc>
        <w:tc>
          <w:tcPr>
            <w:tcW w:type="dxa" w:w="3145"/>
            <w:vAlign w:val="center"/>
          </w:tcPr>
          <w:p>
            <w:pPr>
              <w:jc w:val="left"/>
            </w:pPr>
            <w:r>
              <w:rPr>
                <w:rFonts w:ascii="Times New Roman" w:hAnsi="Times New Roman" w:eastAsia="宋体"/>
                <w:b w:val="0"/>
                <w:sz w:val="19"/>
              </w:rPr>
              <w:t>(8.652346×10⁻⁴ m</w:t>
            </w:r>
          </w:p>
        </w:tc>
        <w:tc>
          <w:tcPr>
            <w:tcW w:type="dxa" w:w="3145"/>
            <w:vAlign w:val="center"/>
          </w:tcPr>
          <w:p>
            <w:pPr>
              <w:jc w:val="left"/>
            </w:pPr>
            <w:r>
              <w:rPr>
                <w:rFonts w:ascii="Times New Roman" w:hAnsi="Times New Roman" w:eastAsia="宋体"/>
                <w:b w:val="0"/>
                <w:sz w:val="19"/>
              </w:rPr>
              <w:t>早于临界的局部极小仍安全</w:t>
            </w:r>
          </w:p>
        </w:tc>
      </w:tr>
    </w:tbl>
    <w:p>
      <w:pPr>
        <w:ind w:firstLine="420"/>
      </w:pPr>
      <w:r>
        <w:rPr>
          <w:rFonts w:ascii="Times New Roman" w:hAnsi="Times New Roman" w:eastAsia="宋体"/>
          <w:sz w:val="21"/>
        </w:rPr>
        <w:t>详细记录见：</w:t>
      </w:r>
    </w:p>
    <w:p>
      <w:pPr>
        <w:pStyle w:val="ListBullet"/>
      </w:pPr>
      <w:r>
        <w:rPr>
          <w:rFonts w:ascii="Times New Roman" w:hAnsi="Times New Roman" w:eastAsia="宋体"/>
          <w:sz w:val="21"/>
        </w:rPr>
        <w:t>tables/Q2_验证结果.md；</w:t>
      </w:r>
    </w:p>
    <w:p>
      <w:pPr>
        <w:pStyle w:val="ListBullet"/>
      </w:pPr>
      <w:r>
        <w:rPr>
          <w:rFonts w:ascii="Times New Roman" w:hAnsi="Times New Roman" w:eastAsia="宋体"/>
          <w:sz w:val="21"/>
        </w:rPr>
        <w:t>tables/Q2_0.1s漏检验证.md；</w:t>
      </w:r>
    </w:p>
    <w:p>
      <w:pPr>
        <w:pStyle w:val="ListBullet"/>
      </w:pPr>
      <w:r>
        <w:rPr>
          <w:rFonts w:ascii="Times New Roman" w:hAnsi="Times New Roman" w:eastAsia="宋体"/>
          <w:sz w:val="21"/>
        </w:rPr>
        <w:t>tables/Q2_独立多边形复核.md；</w:t>
      </w:r>
    </w:p>
    <w:p>
      <w:pPr>
        <w:pStyle w:val="ListBullet"/>
      </w:pPr>
      <w:r>
        <w:rPr>
          <w:rFonts w:ascii="Times New Roman" w:hAnsi="Times New Roman" w:eastAsia="宋体"/>
          <w:sz w:val="21"/>
        </w:rPr>
        <w:t>tables/Q2_候选碰撞板对.md；</w:t>
      </w:r>
    </w:p>
    <w:p>
      <w:pPr>
        <w:pStyle w:val="ListBullet"/>
      </w:pPr>
      <w:r>
        <w:rPr>
          <w:rFonts w:ascii="Times New Roman" w:hAnsi="Times New Roman" w:eastAsia="宋体"/>
          <w:sz w:val="21"/>
        </w:rPr>
        <w:t>tables/q2_first_collision.json；</w:t>
      </w:r>
    </w:p>
    <w:p>
      <w:pPr>
        <w:pStyle w:val="ListBullet"/>
      </w:pPr>
      <w:r>
        <w:rPr>
          <w:rFonts w:ascii="Times New Roman" w:hAnsi="Times New Roman" w:eastAsia="宋体"/>
          <w:sz w:val="21"/>
        </w:rPr>
        <w:t>tables/q2_dense_precritical_validation.json。</w:t>
      </w:r>
    </w:p>
    <w:p>
      <w:pPr>
        <w:ind w:firstLine="420"/>
      </w:pPr>
      <w:r>
        <w:rPr>
          <w:rFonts w:ascii="Times New Roman" w:hAnsi="Times New Roman" w:eastAsia="宋体"/>
          <w:sz w:val="21"/>
        </w:rPr>
        <w:t>复现入口为：</w:t>
      </w:r>
    </w:p>
    <w:p>
      <w:pPr>
        <w:pStyle w:val="ListBullet"/>
      </w:pPr>
      <w:r>
        <w:rPr>
          <w:rFonts w:ascii="Times New Roman" w:hAnsi="Times New Roman" w:eastAsia="宋体"/>
          <w:sz w:val="21"/>
        </w:rPr>
        <w:t>code/collision_q2.py：矩形恢复、拓扑排除、外接圆初筛和SAT；</w:t>
      </w:r>
    </w:p>
    <w:p>
      <w:pPr>
        <w:pStyle w:val="ListBullet"/>
      </w:pPr>
      <w:r>
        <w:rPr>
          <w:rFonts w:ascii="Times New Roman" w:hAnsi="Times New Roman" w:eastAsia="宋体"/>
          <w:sz w:val="21"/>
        </w:rPr>
        <w:t>code/solve_q2_collision.py：扫描与Brent精化；</w:t>
      </w:r>
    </w:p>
    <w:p>
      <w:pPr>
        <w:pStyle w:val="ListBullet"/>
      </w:pPr>
      <w:r>
        <w:rPr>
          <w:rFonts w:ascii="Times New Roman" w:hAnsi="Times New Roman" w:eastAsia="宋体"/>
          <w:sz w:val="21"/>
        </w:rPr>
        <w:t>code/validate_dense_precritical.py：密集扫描和漏检审计；</w:t>
      </w:r>
    </w:p>
    <w:p>
      <w:pPr>
        <w:pStyle w:val="ListBullet"/>
      </w:pPr>
      <w:r>
        <w:rPr>
          <w:rFonts w:ascii="Times New Roman" w:hAnsi="Times New Roman" w:eastAsia="宋体"/>
          <w:sz w:val="21"/>
        </w:rPr>
        <w:t>code/test_collision_q2.py：小规模几何核验。</w:t>
      </w:r>
    </w:p>
    <w:p>
      <w:pPr>
        <w:pStyle w:val="Heading2"/>
      </w:pPr>
      <w:r>
        <w:t>6.2 模型边界</w:t>
      </w:r>
    </w:p>
    <w:p>
      <w:pPr>
        <w:ind w:left="312" w:hanging="198"/>
      </w:pPr>
      <w:r>
        <w:rPr>
          <w:rFonts w:ascii="Times New Roman" w:hAnsi="Times New Roman" w:eastAsia="宋体"/>
          <w:sz w:val="21"/>
        </w:rPr>
        <w:t>1. 模型是二维俯视实体矩形，不包含三维上下遮挡；</w:t>
      </w:r>
    </w:p>
    <w:p>
      <w:pPr>
        <w:ind w:left="312" w:hanging="198"/>
      </w:pPr>
      <w:r>
        <w:rPr>
          <w:rFonts w:ascii="Times New Roman" w:hAnsi="Times New Roman" w:eastAsia="宋体"/>
          <w:sz w:val="21"/>
        </w:rPr>
        <w:t>2. 板凳宽度按 (0.30, m) 处理，未额外建模孔径、连接间隙和材料变形；</w:t>
      </w:r>
    </w:p>
    <w:p>
      <w:pPr>
        <w:ind w:left="312" w:hanging="198"/>
      </w:pPr>
      <w:r>
        <w:rPr>
          <w:rFonts w:ascii="Times New Roman" w:hAnsi="Times New Roman" w:eastAsia="宋体"/>
          <w:sz w:val="21"/>
        </w:rPr>
        <w:t>3. “刚好接触即为临界”是本问的判定口径；代码仅因浮点计算增加 (10⁻¹⁰, m) 容差；</w:t>
      </w:r>
    </w:p>
    <w:p>
      <w:pPr>
        <w:ind w:left="312" w:hanging="198"/>
      </w:pPr>
      <w:r>
        <w:rPr>
          <w:rFonts w:ascii="Times New Roman" w:hAnsi="Times New Roman" w:eastAsia="宋体"/>
          <w:sz w:val="21"/>
        </w:rPr>
        <w:t>4. 全局裕度不作单调假设，因此首次搜索依赖完整扫描和局部精化；</w:t>
      </w:r>
    </w:p>
    <w:p>
      <w:pPr>
        <w:ind w:left="312" w:hanging="198"/>
      </w:pPr>
      <w:r>
        <w:rPr>
          <w:rFonts w:ascii="Times New Roman" w:hAnsi="Times New Roman" w:eastAsia="宋体"/>
          <w:sz w:val="21"/>
        </w:rPr>
        <w:t>5. 问题1的论文工作簿展示到300 s，但问题2通过同一已验证时间—位置接口继续计算到442 s，以覆盖首次临界时间。</w:t>
      </w:r>
    </w:p>
    <w:p>
      <w:pPr>
        <w:pStyle w:val="Heading2"/>
      </w:pPr>
      <w:r>
        <w:t>6.3 传递给问题3的接口</w:t>
      </w:r>
    </w:p>
    <w:p>
      <w:pPr>
        <w:ind w:firstLine="420"/>
      </w:pPr>
      <w:r>
        <w:rPr>
          <w:rFonts w:ascii="Times New Roman" w:hAnsi="Times New Roman" w:eastAsia="宋体"/>
          <w:sz w:val="21"/>
        </w:rPr>
        <w:t>问题3若改变螺距或轨迹参数，可直接继承本问的实体矩形恢复、拓扑排除、外接圆初筛、SAT精判和全局安全裕度定义；新增的只是“轨迹参数变化 → 全过程可行性判断 → 参数搜索”的外层逻辑。本问不在此处提前求解问题3，也不把当前 (0.55, m) 螺距下的临界时间直接外推为其他螺距的结论。</w:t>
      </w:r>
    </w:p>
    <w:p>
      <w:pPr>
        <w:jc w:val="center"/>
      </w:pPr>
      <w:r>
        <w:t>附图：问题2全局安全裕度</w:t>
      </w:r>
      <w:r>
        <w:rPr>
          <w:rFonts w:ascii="Times New Roman" w:hAnsi="Times New Roman" w:eastAsia="黑体"/>
          <w:b/>
          <w:sz w:val="30"/>
        </w:rPr>
      </w:r>
    </w:p>
    <w:p>
      <w:pPr>
        <w:jc w:val="center"/>
      </w:pPr>
      <w:r>
        <w:drawing>
          <wp:inline xmlns:a="http://schemas.openxmlformats.org/drawingml/2006/main" xmlns:pic="http://schemas.openxmlformats.org/drawingml/2006/picture">
            <wp:extent cx="5166360" cy="2906078"/>
            <wp:docPr id="16" name="Picture 16"/>
            <wp:cNvGraphicFramePr>
              <a:graphicFrameLocks noChangeAspect="1"/>
            </wp:cNvGraphicFramePr>
            <a:graphic>
              <a:graphicData uri="http://schemas.openxmlformats.org/drawingml/2006/picture">
                <pic:pic>
                  <pic:nvPicPr>
                    <pic:cNvPr id="0" name="图1_Q2_全局安全裕度.png"/>
                    <pic:cNvPicPr/>
                  </pic:nvPicPr>
                  <pic:blipFill>
                    <a:blip r:embed="rId25"/>
                    <a:stretch>
                      <a:fillRect/>
                    </a:stretch>
                  </pic:blipFill>
                  <pic:spPr>
                    <a:xfrm>
                      <a:off x="0" y="0"/>
                      <a:ext cx="5166360" cy="2906078"/>
                    </a:xfrm>
                    <a:prstGeom prst="rect"/>
                  </pic:spPr>
                </pic:pic>
              </a:graphicData>
            </a:graphic>
          </wp:inline>
        </w:drawing>
      </w:r>
    </w:p>
    <w:p>
      <w:pPr>
        <w:jc w:val="center"/>
      </w:pPr>
      <w:r>
        <w:t>图1  全局安全裕度随盘入时间的变化</w:t>
      </w:r>
      <w:r>
        <w:rPr>
          <w:rFonts w:ascii="Times New Roman" w:hAnsi="Times New Roman" w:eastAsia="宋体"/>
          <w:sz w:val="19"/>
        </w:rPr>
      </w:r>
    </w:p>
    <w:sectPr w:rsidR="00FC693F" w:rsidRPr="0006063C" w:rsidSect="00034616">
      <w:footerReference w:type="default" r:id="rId9"/>
      <w:pgSz w:w="12240" w:h="15840"/>
      <w:pgMar w:top="1332" w:right="1332"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问题2：碰撞模型与首次碰撞时间｜论文手审阅版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问题2：碰撞模型与首次碰撞时间</dc:title>
  <dc:subject>有向矩形、外接圆初筛、SAT精判与首次碰撞时间</dc:subject>
  <dc:creator>数学建模项目组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