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400" w:line="312"/>
      </w:pPr>
      <w:r>
        <w:rPr>
          <w:rFonts w:ascii="Calibri" w:eastAsia="SimHei"/>
          <w:b/>
          <w:bCs/>
          <w:color w:val="0D1B2A"/>
          <w:sz w:val="32"/>
          <w:szCs w:val="32"/>
        </w:rPr>
        <w:t xml:space="preserve">Global Financial Management System - Development Plan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This comprehensive development plan outlines the architecture, features, and implementation strategy for building a world-class Enterprise Financial Management System (EFMS).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Based on extensive research of global standards including FSB key standards, IFRS/GAAP compliance requirements, and analysis of leading platforms like SAP S/4HANA Finance, Oracle NetSuite, Microsoft Dynamics 365.</w:t>
      </w:r>
    </w:p>
    <w:p>
      <w:pPr>
        <w:pStyle w:val="Heading2"/>
        <w:spacing w:after="150" w:before="400" w:line="312"/>
      </w:pPr>
      <w:r>
        <w:rPr>
          <w:rFonts w:ascii="Calibri" w:eastAsia="SimHei"/>
          <w:b/>
          <w:bCs/>
          <w:color w:val="0D1B2A"/>
          <w:sz w:val="28"/>
          <w:szCs w:val="28"/>
        </w:rPr>
        <w:t xml:space="preserve">Core Financial Modules</w:t>
      </w:r>
    </w:p>
    <w:p>
      <w:pPr>
        <w:spacing w:after="120" w:line="312"/>
        <w:ind w:firstLine="480"/>
        <w:jc w:val="both"/>
      </w:pPr>
      <w:r>
        <w:rPr>
          <w:rFonts w:ascii="Calibri" w:eastAsia="SimSun"/>
          <w:color w:val="1B263B"/>
          <w:sz w:val="24"/>
          <w:szCs w:val="24"/>
        </w:rPr>
        <w:t xml:space="preserve">The following core modules represent the essential foundation of any world-class financial management system: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General Ledger (GL) - Central repository for all financial transactions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Accounts Payable (AP) - Invoice processing and payment automation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Accounts Receivable (AR) - Billing and collections management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Cash &amp; Treasury Management - Cash positioning and forecasting</w:t>
      </w:r>
    </w:p>
    <w:p>
      <w:pPr>
        <w:pStyle w:val="ListParagraph"/>
        <w:numPr>
          <w:ilvl w:val="0"/>
          <w:numId w:val="2"/>
        </w:numPr>
        <w:spacing w:after="80" w:line="312"/>
      </w:pPr>
      <w:r>
        <w:rPr>
          <w:rFonts w:ascii="Calibri" w:eastAsia="SimSun"/>
          <w:color w:val="1B263B"/>
          <w:sz w:val="24"/>
          <w:szCs w:val="24"/>
        </w:rPr>
        <w:t xml:space="preserve">Fixed Assets Management - Asset lifecycle tracking</w:t>
      </w:r>
    </w:p>
    <w:sectPr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/>
        <w:color w:val="1B263B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2026-08-26T05:55:12.695Z</dcterms:created>
  <dcterms:modified xsi:type="dcterms:W3CDTF">2026-08-26T05:55:12.696Z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