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shd w:fill="0D1B2A" w:val="clear"/>
            <w:vAlign w:val="top"/>
          </w:tcPr>
          <w:p>
            <w:pPr>
              <w:spacing w:after="0" w:before="2400" w:line="40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44"/>
                <w:szCs w:val="44"/>
              </w:rPr>
              <w:t xml:space="preserve">Global Financial Management System</w:t>
            </w:r>
          </w:p>
          <w:p>
            <w:pPr>
              <w:spacing w:after="0" w:before="200" w:line="400"/>
              <w:jc w:val="center"/>
            </w:pPr>
            <w:r>
              <w:rPr>
                <w:rFonts w:ascii="Calibri" w:eastAsia="SimSun"/>
                <w:color w:val="E0E7FF"/>
                <w:sz w:val="28"/>
                <w:szCs w:val="28"/>
              </w:rPr>
              <w:t xml:space="preserve">Development Plan &amp; Best Practices Guide</w:t>
            </w:r>
          </w:p>
          <w:p>
            <w:pPr>
              <w:spacing w:after="0" w:before="600" w:line="35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36"/>
                <w:szCs w:val="36"/>
              </w:rPr>
              <w:t xml:space="preserve">Financial Management System Development Plan</w:t>
            </w:r>
          </w:p>
          <w:p>
            <w:pPr>
              <w:spacing w:after="0" w:before="1800" w:line="300"/>
              <w:jc w:val="center"/>
            </w:pPr>
            <w:r>
              <w:rPr>
                <w:rFonts w:ascii="Calibri" w:eastAsia="SimSun"/>
                <w:color w:val="94A3B8"/>
                <w:sz w:val="22"/>
                <w:szCs w:val="22"/>
              </w:rPr>
              <w:t xml:space="preserve">Market Size: USD 9.28B (2024) to USD 26.85B (2032)</w:t>
            </w:r>
          </w:p>
          <w:p>
            <w:pPr>
              <w:spacing w:after="0" w:before="100" w:line="300"/>
              <w:jc w:val="center"/>
            </w:pPr>
            <w:r>
              <w:rPr>
                <w:rFonts w:ascii="Calibri" w:eastAsia="SimSun"/>
                <w:b/>
                <w:bCs/>
                <w:color w:val="2E8B57"/>
                <w:sz w:val="26"/>
                <w:szCs w:val="26"/>
              </w:rPr>
              <w:t xml:space="preserve">CAGR: 14.2%</w:t>
            </w:r>
          </w:p>
          <w:p>
            <w:pPr>
              <w:spacing w:after="0" w:before="1200" w:line="300"/>
              <w:jc w:val="center"/>
            </w:pPr>
            <w:r>
              <w:rPr>
                <w:rFonts w:ascii="Calibri" w:eastAsia="SimSun"/>
                <w:color w:val="64748B"/>
                <w:sz w:val="20"/>
                <w:szCs w:val="20"/>
              </w:rPr>
              <w:t xml:space="preserve">Based on Research: FSB, Oracle, SAP, NetSuite, KPMG, Gartner</w:t>
            </w:r>
          </w:p>
          <w:p>
            <w:pPr>
              <w:spacing w:after="0" w:before="200" w:line="300"/>
              <w:jc w:val="center"/>
            </w:pPr>
            <w:r>
              <w:rPr>
                <w:rFonts w:ascii="Calibri" w:eastAsia="SimSun"/>
                <w:color w:val="64748B"/>
                <w:sz w:val="20"/>
                <w:szCs w:val="20"/>
              </w:rPr>
              <w:t xml:space="preserve">August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bookmarkStart w:id="100000" w:name="_Toc100000"/>
      <w:r>
        <w:rPr>
          <w:rFonts w:ascii="Calibri" w:eastAsia="SimHei"/>
        </w:rPr>
        <w:t xml:space="preserve">Table of Contents</w:t>
      </w:r>
      <w:bookmarkEnd w:id="100000"/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Executive Summary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Global Market Overview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Market Size and Growth Trajectory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 Key Market Drivers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Core Financial Modules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General Ledger (GL)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Accounts Payable (AP)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 Accounts Receivable (AR)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3.4 Cash &amp; Treasury Management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 Accounting Standards Compliance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 IFRS Requirements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 Technical Architecture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5.1 Microservices Architecture Pattern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5.2 Security Framework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 Multi-Currency Support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7. Financial Reporting &amp; Analytics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7.1 Key Performance Indicators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 Budgeting &amp; Forecasting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9. Tax Compliance &amp; Automation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10. Implementation Roadmap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Phase 1: Foundation (Months 1-3)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Phase 2: Enhancement (Months 4-6)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Phase 3: Intelligence (Months 7-9)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Phase 4: Enterprise (Months 10-12)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11. Success Factors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4748B"/>
          <w:sz w:val="20"/>
          <w:szCs w:val="20"/>
        </w:rPr>
        <w:t xml:space="preserve">(Right-click and select 'Update Field' to refresh page numbers)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50" w:before="400" w:line="312"/>
      </w:pPr>
      <w:bookmarkStart w:id="100001" w:name="_Toc100001"/>
      <w:r>
        <w:rPr>
          <w:rFonts w:ascii="Calibri" w:eastAsia="SimHei"/>
          <w:b/>
          <w:bCs/>
          <w:color w:val="0D1B2A"/>
          <w:sz w:val="32"/>
          <w:szCs w:val="32"/>
        </w:rPr>
        <w:t xml:space="preserve">1. Executive Summary</w:t>
      </w:r>
      <w:bookmarkEnd w:id="100001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This comprehensive development plan outlines the architecture, features, and implementation strategy for building a world-class Enterprise Financial Management System (EFMS). Based on extensive research of global standards including FSB key standards, IFRS/GAAP compliance requirements, and analysis of leading platforms like SAP S/4HANA Finance, Oracle NetSuite, Microsoft Dynamics 365, and QuickBooks Enterprise, this document provides a complete roadmap for developing a competitive financial management solution.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The global Enterprise Financial Management Software market is projected to grow from USD 9.28 billion in 2024 to an estimated USD 26.85 billion by 2032, representing a compound annual growth rate (CAGR) of approximately 14.2%. This growth is driven by increasing demand for real-time financial visibility, regulatory compliance automation, multi-currency transaction support, and integration with emerging technologies such as artificial intelligence and machine learning for predictive financial analytics.</w:t>
      </w:r>
    </w:p>
    <w:p>
      <w:pPr>
        <w:pStyle w:val="Heading1"/>
        <w:spacing w:after="150" w:before="400" w:line="312"/>
      </w:pPr>
      <w:bookmarkStart w:id="100002" w:name="_Toc100002"/>
      <w:r>
        <w:rPr>
          <w:rFonts w:ascii="Calibri" w:eastAsia="SimHei"/>
          <w:b/>
          <w:bCs/>
          <w:color w:val="0D1B2A"/>
          <w:sz w:val="32"/>
          <w:szCs w:val="32"/>
        </w:rPr>
        <w:t xml:space="preserve">2. Global Market Overview</w:t>
      </w:r>
      <w:bookmarkEnd w:id="100002"/>
    </w:p>
    <w:p>
      <w:pPr>
        <w:pStyle w:val="Heading2"/>
        <w:spacing w:after="150" w:before="300" w:line="312"/>
      </w:pPr>
      <w:bookmarkStart w:id="100003" w:name="_Toc100003"/>
      <w:r>
        <w:rPr>
          <w:rFonts w:ascii="Calibri" w:eastAsia="SimHei"/>
          <w:b/>
          <w:bCs/>
          <w:color w:val="0D1B2A"/>
          <w:sz w:val="28"/>
          <w:szCs w:val="28"/>
        </w:rPr>
        <w:t xml:space="preserve">2.1 Market Size and Growth Trajectory</w:t>
      </w:r>
      <w:bookmarkEnd w:id="100003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The enterprise financial management software sector is experiencing unprecedented growth, fueled by digital transformation initiatives across industries. Organizations are increasingly moving away from legacy spreadsheet-based financial processes toward integrated, cloud-native solutions that offer real-time collaboration, automated compliance checking, and advanced analytical capabilities.</w:t>
      </w:r>
    </w:p>
    <w:tbl>
      <w:tblPr>
        <w:tblW w:type="pct" w:w="100%"/>
        <w:tblBorders>
          <w:top w:val="single" w:color="415A77" w:sz="2"/>
          <w:left w:val="none"/>
          <w:bottom w:val="single" w:color="415A77" w:sz="2"/>
          <w:right w:val="none"/>
          <w:insideH w:val="single" w:color="E2E8F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1"/>
                <w:szCs w:val="21"/>
              </w:rPr>
              <w:t xml:space="preserve">Metric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1"/>
                <w:szCs w:val="21"/>
              </w:rPr>
              <w:t xml:space="preserve">2024 Value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1"/>
                <w:szCs w:val="21"/>
              </w:rPr>
              <w:t xml:space="preserve">2032 Projection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1"/>
                <w:szCs w:val="21"/>
              </w:rPr>
              <w:t xml:space="preserve">CAGR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Market Size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USD 9.28B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USD 26.85B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14.2%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Cloud Segment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62%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85%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SMB Adoption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45%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72%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2"/>
        <w:spacing w:after="150" w:before="300" w:line="312"/>
      </w:pPr>
      <w:bookmarkStart w:id="100004" w:name="_Toc100004"/>
      <w:r>
        <w:rPr>
          <w:rFonts w:ascii="Calibri" w:eastAsia="SimHei"/>
          <w:b/>
          <w:bCs/>
          <w:color w:val="0D1B2A"/>
          <w:sz w:val="28"/>
          <w:szCs w:val="28"/>
        </w:rPr>
        <w:t xml:space="preserve">2.2 Key Market Drivers</w:t>
      </w:r>
      <w:bookmarkEnd w:id="100004"/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Regulatory Compliance Complexity: Increasing global regulations including GDPR, SOX, Basel III require sophisticated compliance automation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Digital Transformation Mandates: Organizations prioritizing financial process automation to reduce costs and improve accuracy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Real-time Financial Visibility: Demand for instant access to financial data has become a competitive necessity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Multi-entity Consolidation: Growing need for unified reporting across subsidiaries, currencies, and jurisdictions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AI/ML Integration: AI for cash flow forecasting, anomaly detection, and automated reconciliation is now standard</w:t>
      </w:r>
    </w:p>
    <w:p>
      <w:pPr>
        <w:pStyle w:val="Heading1"/>
        <w:spacing w:after="150" w:before="400" w:line="312"/>
      </w:pPr>
      <w:bookmarkStart w:id="100005" w:name="_Toc100005"/>
      <w:r>
        <w:rPr>
          <w:rFonts w:ascii="Calibri" w:eastAsia="SimHei"/>
          <w:b/>
          <w:bCs/>
          <w:color w:val="0D1B2A"/>
          <w:sz w:val="32"/>
          <w:szCs w:val="32"/>
        </w:rPr>
        <w:t xml:space="preserve">3. Core Financial Modules</w:t>
      </w:r>
      <w:bookmarkEnd w:id="100005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Based on comprehensive analysis of leading ERP financial modules from Oracle NetSuite, SAP S/4HANA, Microsoft Dynamics 365, and specialized solutions like Sage Intacct and Coupa, the following core modules represent the essential foundation:</w:t>
      </w:r>
    </w:p>
    <w:p>
      <w:pPr>
        <w:pStyle w:val="Heading2"/>
        <w:spacing w:after="150" w:before="300" w:line="312"/>
      </w:pPr>
      <w:bookmarkStart w:id="100006" w:name="_Toc100006"/>
      <w:r>
        <w:rPr>
          <w:rFonts w:ascii="Calibri" w:eastAsia="SimHei"/>
          <w:b/>
          <w:bCs/>
          <w:color w:val="0D1B2A"/>
          <w:sz w:val="28"/>
          <w:szCs w:val="28"/>
        </w:rPr>
        <w:t xml:space="preserve">3.1 General Ledger (GL)</w:t>
      </w:r>
      <w:bookmarkEnd w:id="100006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The General Ledger serves as the central repository for all financial transactions and forms the backbone of the entire financial system. Modern GL systems must support multi-dimensional chart of accounts, automatic journal entry generation, real-time trial balance calculations, and seamless consolidation.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Multi-dimensional Chart of Accounts with customizable segments (department, cost center, project, location)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Automatic intercompany elimination entries during consolidation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Real-time trial balance, balance sheet, and income statement generation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Support for multiple accounting standards (IFRS, US GAAP, local GAAP) simultaneously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Audit trail with full transaction history and modification tracking</w:t>
      </w:r>
    </w:p>
    <w:p>
      <w:pPr>
        <w:pStyle w:val="Heading2"/>
        <w:spacing w:after="150" w:before="300" w:line="312"/>
      </w:pPr>
      <w:bookmarkStart w:id="100007" w:name="_Toc100007"/>
      <w:r>
        <w:rPr>
          <w:rFonts w:ascii="Calibri" w:eastAsia="SimHei"/>
          <w:b/>
          <w:bCs/>
          <w:color w:val="0D1B2A"/>
          <w:sz w:val="28"/>
          <w:szCs w:val="28"/>
        </w:rPr>
        <w:t xml:space="preserve">3.2 Accounts Payable (AP)</w:t>
      </w:r>
      <w:bookmarkEnd w:id="100007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Accounts Payable automation has evolved significantly with AI-powered invoice processing, electronic payment networks, and dynamic discounting optimization. Leading AP systems offer end-to-end invoice-to-pay automation reducing processing costs by up to 80%.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AI-powered invoice capture with OCR and machine learning for data extraction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Three-way matching (PO, receipt, invoice) with tolerance-based exception handling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Workflow approval routing based on amount, vendor, or custom rules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Dynamic discounting optimization for early payment capture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Multiple payment methods support (ACH, wire, card, international transfers)</w:t>
      </w:r>
    </w:p>
    <w:p>
      <w:pPr>
        <w:pStyle w:val="Heading2"/>
        <w:spacing w:after="150" w:before="300" w:line="312"/>
      </w:pPr>
      <w:bookmarkStart w:id="100008" w:name="_Toc100008"/>
      <w:r>
        <w:rPr>
          <w:rFonts w:ascii="Calibri" w:eastAsia="SimHei"/>
          <w:b/>
          <w:bCs/>
          <w:color w:val="0D1B2A"/>
          <w:sz w:val="28"/>
          <w:szCs w:val="28"/>
        </w:rPr>
        <w:t xml:space="preserve">3.3 Accounts Receivable (AR)</w:t>
      </w:r>
      <w:bookmarkEnd w:id="100008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Effective AR management directly impacts organizational cash flow and liquidity. Modern AR systems integrate credit management, collections automation, and customer self-service portals to reduce Days Sales Outstanding (DSO).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Automated invoicing with customizable templates and multi-language support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Credit limit management with real-time exposure monitoring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Collections workflow with priority scoring and communication templates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Customer portal for viewing invoices, making payments, and disputing charges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Revenue recognition automation compliant with ASC 606/IFRS 15</w:t>
      </w:r>
    </w:p>
    <w:p>
      <w:pPr>
        <w:pStyle w:val="Heading2"/>
        <w:spacing w:after="150" w:before="300" w:line="312"/>
      </w:pPr>
      <w:bookmarkStart w:id="100009" w:name="_Toc100009"/>
      <w:r>
        <w:rPr>
          <w:rFonts w:ascii="Calibri" w:eastAsia="SimHei"/>
          <w:b/>
          <w:bCs/>
          <w:color w:val="0D1B2A"/>
          <w:sz w:val="28"/>
          <w:szCs w:val="28"/>
        </w:rPr>
        <w:t xml:space="preserve">3.4 Cash &amp; Treasury Management</w:t>
      </w:r>
      <w:bookmarkEnd w:id="100009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Treasury Management Systems have become critical for organizations managing complex cash positions across multiple banks, currencies, and entities. Real-time bank connectivity enables instant cash position visibility.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Real-time bank connectivity via APIs (Plaid, Teller, MX, direct bank integrations)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Global cash positioning with multi-currency aggregation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Cash flow forecasting with scenario modeling (best case, worst case, likely)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Bank account management with signatory controls and authorization workflows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FX exposure management with hedge accounting support</w:t>
      </w:r>
    </w:p>
    <w:p>
      <w:pPr>
        <w:pStyle w:val="Heading1"/>
        <w:spacing w:after="150" w:before="400" w:line="312"/>
      </w:pPr>
      <w:bookmarkStart w:id="100010" w:name="_Toc100010"/>
      <w:r>
        <w:rPr>
          <w:rFonts w:ascii="Calibri" w:eastAsia="SimHei"/>
          <w:b/>
          <w:bCs/>
          <w:color w:val="0D1B2A"/>
          <w:sz w:val="32"/>
          <w:szCs w:val="32"/>
        </w:rPr>
        <w:t xml:space="preserve">4. Accounting Standards Compliance</w:t>
      </w:r>
      <w:bookmarkEnd w:id="100010"/>
    </w:p>
    <w:p>
      <w:pPr>
        <w:pStyle w:val="Heading2"/>
        <w:spacing w:after="150" w:before="300" w:line="312"/>
      </w:pPr>
      <w:bookmarkStart w:id="100011" w:name="_Toc100011"/>
      <w:r>
        <w:rPr>
          <w:rFonts w:ascii="Calibri" w:eastAsia="SimHei"/>
          <w:b/>
          <w:bCs/>
          <w:color w:val="0D1B2A"/>
          <w:sz w:val="28"/>
          <w:szCs w:val="28"/>
        </w:rPr>
        <w:t xml:space="preserve">4.1 IFRS Requirements</w:t>
      </w:r>
      <w:bookmarkEnd w:id="100011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IFRS is used in over 140 jurisdictions worldwide. A world-class financial system must provide native IFRS support including parallel ledgers for entities reporting under different frameworks.</w:t>
      </w:r>
    </w:p>
    <w:tbl>
      <w:tblPr>
        <w:tblW w:type="pct" w:w="100%"/>
        <w:tblBorders>
          <w:top w:val="single" w:color="415A77" w:sz="2"/>
          <w:left w:val="none"/>
          <w:bottom w:val="single" w:color="415A77" w:sz="2"/>
          <w:right w:val="none"/>
          <w:insideH w:val="single" w:color="E2E8F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1"/>
                <w:szCs w:val="21"/>
              </w:rPr>
              <w:t xml:space="preserve">Standard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1"/>
                <w:szCs w:val="21"/>
              </w:rPr>
              <w:t xml:space="preserve">Requirement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1"/>
                <w:szCs w:val="21"/>
              </w:rPr>
              <w:t xml:space="preserve">System Capability Needed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IFRS 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Financial Instruments Classification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Three-category classification engine with ECL model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IFRS 15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Revenue Recognition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Five-step model with contract liability tracking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IFRS 16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Lease Accounting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Right-of-use asset and lease liability calculation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IAS 36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Impairment Testing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Recoverability testing with value-in-use calculations</w:t>
            </w:r>
          </w:p>
        </w:tc>
      </w:tr>
    </w:tbl>
    <w:p>
      <w:pPr>
        <w:pStyle w:val="Heading1"/>
        <w:spacing w:after="150" w:before="400" w:line="312"/>
      </w:pPr>
      <w:bookmarkStart w:id="100012" w:name="_Toc100012"/>
      <w:r>
        <w:rPr>
          <w:rFonts w:ascii="Calibri" w:eastAsia="SimHei"/>
          <w:b/>
          <w:bCs/>
          <w:color w:val="0D1B2A"/>
          <w:sz w:val="32"/>
          <w:szCs w:val="32"/>
        </w:rPr>
        <w:t xml:space="preserve">5. Technical Architecture</w:t>
      </w:r>
      <w:bookmarkEnd w:id="100012"/>
    </w:p>
    <w:p>
      <w:pPr>
        <w:pStyle w:val="Heading2"/>
        <w:spacing w:after="150" w:before="300" w:line="312"/>
      </w:pPr>
      <w:bookmarkStart w:id="100013" w:name="_Toc100013"/>
      <w:r>
        <w:rPr>
          <w:rFonts w:ascii="Calibri" w:eastAsia="SimHei"/>
          <w:b/>
          <w:bCs/>
          <w:color w:val="0D1B2A"/>
          <w:sz w:val="28"/>
          <w:szCs w:val="28"/>
        </w:rPr>
        <w:t xml:space="preserve">5.1 Microservices Architecture Pattern</w:t>
      </w:r>
      <w:bookmarkEnd w:id="100013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Modern financial systems leverage microservices architecture to achieve scalability, resilience, and independent deployment. Each major module operates as an independently deployable service with its own database, communicating via well-defined APIs.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Domain-Driven Design (DDD) provides the foundational methodology for defining service boundaries around business capabilities. Bounded contexts ensure clear ownership and enable autonomous team development.</w:t>
      </w:r>
    </w:p>
    <w:p>
      <w:pPr>
        <w:pStyle w:val="Heading2"/>
        <w:spacing w:after="150" w:before="300" w:line="312"/>
      </w:pPr>
      <w:bookmarkStart w:id="100014" w:name="_Toc100014"/>
      <w:r>
        <w:rPr>
          <w:rFonts w:ascii="Calibri" w:eastAsia="SimHei"/>
          <w:b/>
          <w:bCs/>
          <w:color w:val="0D1B2A"/>
          <w:sz w:val="28"/>
          <w:szCs w:val="28"/>
        </w:rPr>
        <w:t xml:space="preserve">5.2 Security Framework</w:t>
      </w:r>
      <w:bookmarkEnd w:id="100014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Financial systems require the highest levels of security due to sensitive financial data and regulatory requirements. The framework must encompass network security, application security, data encryption, and operational security.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Role-Based Access Control (RBAC) with granular permission mapping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Segregation of Duties (SoD) enforcement preventing conflicting roles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Complete audit logging with tamper-evident storage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Multi-factor authentication for sensitive operations</w:t>
      </w:r>
    </w:p>
    <w:p>
      <w:pPr>
        <w:pStyle w:val="Heading1"/>
        <w:spacing w:after="150" w:before="400" w:line="312"/>
      </w:pPr>
      <w:bookmarkStart w:id="100015" w:name="_Toc100015"/>
      <w:r>
        <w:rPr>
          <w:rFonts w:ascii="Calibri" w:eastAsia="SimHei"/>
          <w:b/>
          <w:bCs/>
          <w:color w:val="0D1B2A"/>
          <w:sz w:val="32"/>
          <w:szCs w:val="32"/>
        </w:rPr>
        <w:t xml:space="preserve">6. Multi-Currency Support</w:t>
      </w:r>
      <w:bookmarkEnd w:id="100015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Global enterprises require robust multi-currency capabilities to manage transactions across borders, consolidate statements in multiple reporting currencies, and hedge against foreign exchange risk.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Unlimited currency definitions with precision control (up to 6 decimal places)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Automatic daily exchange rate updates via ECB, IMF, or commercial providers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Functional currency designation at entity level with unlimited reporting currencies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Revaluation routines for monetary assets/liabilities at period end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Translation adjustments to equity (CTA) per IAS 21 requirements</w:t>
      </w:r>
    </w:p>
    <w:p>
      <w:pPr>
        <w:pStyle w:val="Heading1"/>
        <w:spacing w:after="150" w:before="400" w:line="312"/>
      </w:pPr>
      <w:bookmarkStart w:id="100016" w:name="_Toc100016"/>
      <w:r>
        <w:rPr>
          <w:rFonts w:ascii="Calibri" w:eastAsia="SimHei"/>
          <w:b/>
          <w:bCs/>
          <w:color w:val="0D1B2A"/>
          <w:sz w:val="32"/>
          <w:szCs w:val="32"/>
        </w:rPr>
        <w:t xml:space="preserve">7. Financial Reporting &amp; Analytics</w:t>
      </w:r>
      <w:bookmarkEnd w:id="100016"/>
    </w:p>
    <w:p>
      <w:pPr>
        <w:pStyle w:val="Heading2"/>
        <w:spacing w:after="150" w:before="300" w:line="312"/>
      </w:pPr>
      <w:bookmarkStart w:id="100017" w:name="_Toc100017"/>
      <w:r>
        <w:rPr>
          <w:rFonts w:ascii="Calibri" w:eastAsia="SimHei"/>
          <w:b/>
          <w:bCs/>
          <w:color w:val="0D1B2A"/>
          <w:sz w:val="28"/>
          <w:szCs w:val="28"/>
        </w:rPr>
        <w:t xml:space="preserve">7.1 Key Performance Indicators</w:t>
      </w:r>
      <w:bookmarkEnd w:id="100017"/>
    </w:p>
    <w:tbl>
      <w:tblPr>
        <w:tblW w:type="pct" w:w="100%"/>
        <w:tblBorders>
          <w:top w:val="single" w:color="415A77" w:sz="2"/>
          <w:left w:val="none"/>
          <w:bottom w:val="single" w:color="415A77" w:sz="2"/>
          <w:right w:val="none"/>
          <w:insideH w:val="single" w:color="E2E8F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1"/>
                <w:szCs w:val="21"/>
              </w:rPr>
              <w:t xml:space="preserve">KPI Category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1"/>
                <w:szCs w:val="21"/>
              </w:rPr>
              <w:t xml:space="preserve">Key Metrics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1"/>
                <w:szCs w:val="21"/>
              </w:rPr>
              <w:t xml:space="preserve">Target Audience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Liquidity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Current Ratio, Quick Ratio, Cash Ratio, Working Capital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CFO, Treasurer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Profitability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Gross Margin, Operating Margin, Net Profit Margin, ROA, ROE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CEO, Board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Efficiency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Asset Turnover, Inventory Turnover, AR Turnover, AP Days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COO, Operations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Leverage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Debt-to-Equity, Interest Coverage, Debt Service Coverage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CFO, Investors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Cash Flow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Operating Cash Flow, Free Cash Flow, Cash Conversion Cycle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63B"/>
                <w:sz w:val="21"/>
                <w:szCs w:val="21"/>
              </w:rPr>
              <w:t xml:space="preserve">Treasurer, FP&amp;A</w:t>
            </w:r>
          </w:p>
        </w:tc>
      </w:tr>
    </w:tbl>
    <w:p>
      <w:pPr>
        <w:pStyle w:val="Heading1"/>
        <w:spacing w:after="150" w:before="400" w:line="312"/>
      </w:pPr>
      <w:bookmarkStart w:id="100018" w:name="_Toc100018"/>
      <w:r>
        <w:rPr>
          <w:rFonts w:ascii="Calibri" w:eastAsia="SimHei"/>
          <w:b/>
          <w:bCs/>
          <w:color w:val="0D1B2A"/>
          <w:sz w:val="32"/>
          <w:szCs w:val="32"/>
        </w:rPr>
        <w:t xml:space="preserve">8. Budgeting &amp; Forecasting</w:t>
      </w:r>
      <w:bookmarkEnd w:id="100018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Integrated planning solutions replace fragmented spreadsheet processes with collaborative, governed workflows connecting strategic plans to operational budgets and rolling forecasts.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Driver-based budgeting linking operational drivers to financial line items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Workflow-enabled budget creation with approval routing and version control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What-if scenario modeling for multiple budget versions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Machine learning-powered revenue forecasting using historical patterns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Cash flow forecasting with probability-weighted scenarios</w:t>
      </w:r>
    </w:p>
    <w:p>
      <w:pPr>
        <w:pStyle w:val="Heading1"/>
        <w:spacing w:after="150" w:before="400" w:line="312"/>
      </w:pPr>
      <w:bookmarkStart w:id="100019" w:name="_Toc100019"/>
      <w:r>
        <w:rPr>
          <w:rFonts w:ascii="Calibri" w:eastAsia="SimHei"/>
          <w:b/>
          <w:bCs/>
          <w:color w:val="0D1B2A"/>
          <w:sz w:val="32"/>
          <w:szCs w:val="32"/>
        </w:rPr>
        <w:t xml:space="preserve">9. Tax Compliance &amp; Automation</w:t>
      </w:r>
      <w:bookmarkEnd w:id="100019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Tax compliance represents one of the most complex aspects of financial management. The system must support indirect tax calculation, direct tax provisions, transfer pricing documentation, and country-by-country reporting.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Automated VAT/GST determination based on tax codes and jurisdiction rules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Multi-jurisdiction tax return preparation with e-filing capabilities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Tax provision automation (ASC 740 / IAS 12) with deferred tax calculations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Country-by-Country Reporting template generation per OECD guidelines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Tax calendar management with deadline tracking and reminder workflows</w:t>
      </w:r>
    </w:p>
    <w:p>
      <w:pPr>
        <w:pStyle w:val="Heading1"/>
        <w:spacing w:after="150" w:before="400" w:line="312"/>
      </w:pPr>
      <w:bookmarkStart w:id="100020" w:name="_Toc100020"/>
      <w:r>
        <w:rPr>
          <w:rFonts w:ascii="Calibri" w:eastAsia="SimHei"/>
          <w:b/>
          <w:bCs/>
          <w:color w:val="0D1B2A"/>
          <w:sz w:val="32"/>
          <w:szCs w:val="32"/>
        </w:rPr>
        <w:t xml:space="preserve">10. Implementation Roadmap</w:t>
      </w:r>
      <w:bookmarkEnd w:id="100020"/>
    </w:p>
    <w:p>
      <w:pPr>
        <w:pStyle w:val="Heading2"/>
        <w:spacing w:after="150" w:before="300" w:line="312"/>
      </w:pPr>
      <w:bookmarkStart w:id="100021" w:name="_Toc100021"/>
      <w:r>
        <w:rPr>
          <w:rFonts w:ascii="Calibri" w:eastAsia="SimHei"/>
          <w:b/>
          <w:bCs/>
          <w:color w:val="0D1B2A"/>
          <w:sz w:val="28"/>
          <w:szCs w:val="28"/>
        </w:rPr>
        <w:t xml:space="preserve">Phase 1: Foundation (Months 1-3)</w:t>
      </w:r>
      <w:bookmarkEnd w:id="100021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The foundation phase establishes core infrastructure and essential financial modules forming the platform for future development.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Core infrastructure: authentication, authorization, audit logging, multi-tenancy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General Ledger with multi-dimensional chart of accounts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Basic AP/AR functionality with invoice entry and payment processing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Single-currency support with base reporting capabilities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Fundamental financial statements (Balance Sheet, Income Statement, Trial Balance)</w:t>
      </w:r>
    </w:p>
    <w:p>
      <w:pPr>
        <w:pStyle w:val="Heading2"/>
        <w:spacing w:after="150" w:before="300" w:line="312"/>
      </w:pPr>
      <w:bookmarkStart w:id="100022" w:name="_Toc100022"/>
      <w:r>
        <w:rPr>
          <w:rFonts w:ascii="Calibri" w:eastAsia="SimHei"/>
          <w:b/>
          <w:bCs/>
          <w:color w:val="0D1B2A"/>
          <w:sz w:val="28"/>
          <w:szCs w:val="28"/>
        </w:rPr>
        <w:t xml:space="preserve">Phase 2: Enhancement (Months 4-6)</w:t>
      </w:r>
      <w:bookmarkEnd w:id="100022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The enhancement phase expands with sophisticated features required by mid-market and growing enterprises.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Multi-currency enablement with exchange rate management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Fixed Assets module with depreciation engines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Cash Management with basic bank integration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Workflow engine for approval routing and SoD enforcement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REST API layer enabling third-party integrations</w:t>
      </w:r>
    </w:p>
    <w:p>
      <w:pPr>
        <w:pStyle w:val="Heading2"/>
        <w:spacing w:after="150" w:before="300" w:line="312"/>
      </w:pPr>
      <w:bookmarkStart w:id="100023" w:name="_Toc100023"/>
      <w:r>
        <w:rPr>
          <w:rFonts w:ascii="Calibri" w:eastAsia="SimHei"/>
          <w:b/>
          <w:bCs/>
          <w:color w:val="0D1B2A"/>
          <w:sz w:val="28"/>
          <w:szCs w:val="28"/>
        </w:rPr>
        <w:t xml:space="preserve">Phase 3: Intelligence (Months 7-9)</w:t>
      </w:r>
      <w:bookmarkEnd w:id="100023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The intelligence phase introduces advanced analytics, automation, and enterprise-grade features.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Advanced financial analytics dashboard with KPI visualization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AI-powered invoice processing and cash application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Treasury management with cash forecasting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Revenue recognition automation (ASC 606/IFRS 15)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Mobile applications for approvals and inquiries</w:t>
      </w:r>
    </w:p>
    <w:p>
      <w:pPr>
        <w:pStyle w:val="Heading2"/>
        <w:spacing w:after="150" w:before="300" w:line="312"/>
      </w:pPr>
      <w:bookmarkStart w:id="100024" w:name="_Toc100024"/>
      <w:r>
        <w:rPr>
          <w:rFonts w:ascii="Calibri" w:eastAsia="SimHei"/>
          <w:b/>
          <w:bCs/>
          <w:color w:val="0D1B2A"/>
          <w:sz w:val="28"/>
          <w:szCs w:val="28"/>
        </w:rPr>
        <w:t xml:space="preserve">Phase 4: Enterprise (Months 10-12)</w:t>
      </w:r>
      <w:bookmarkEnd w:id="100024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The enterprise phase delivers capabilities for large organizations operating across multiple jurisdictions.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Full IFRS and US GAAP dual-reporting capability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Consolidation engine for multi-entity financial reporting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Advanced planning with driver-based modeling and scenarios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Tax compliance automation for multiple jurisdictions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Advanced security features and SOC 2 compliance certification</w:t>
      </w:r>
    </w:p>
    <w:p>
      <w:pPr>
        <w:pStyle w:val="Heading1"/>
        <w:spacing w:after="150" w:before="400" w:line="312"/>
      </w:pPr>
      <w:bookmarkStart w:id="100025" w:name="_Toc100025"/>
      <w:r>
        <w:rPr>
          <w:rFonts w:ascii="Calibri" w:eastAsia="SimHei"/>
          <w:b/>
          <w:bCs/>
          <w:color w:val="0D1B2A"/>
          <w:sz w:val="32"/>
          <w:szCs w:val="32"/>
        </w:rPr>
        <w:t xml:space="preserve">11. Success Factors</w:t>
      </w:r>
      <w:bookmarkEnd w:id="100025"/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Building a world-class financial management system requires attention to both technical excellence and domain expertise. Critical success factors include: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Domain Expertise: Engage experienced financial professionals (CPAs, CFAs, former auditors) in design decisions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Regulatory Awareness: Monitor evolving accounting standards (IASB, FASB projects) proactively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Data Quality: Implement robust validation rules and reconciliation procedures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User Experience: Design intuitive interfaces that reduce training time and minimize errors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Performance: Ensure sub-second response times for high-volume operations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Scalability: Architecture must handle growth from startup to enterprise without redesign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Integration Readiness: Pre-built connectors for common ERPs and banking platforms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Continuous Delivery: Automated testing and deployment pipelines for frequent releases</w:t>
      </w:r>
    </w:p>
    <w:p>
      <w:pPr>
        <w:spacing w:before="400"/>
      </w:pPr>
    </w:p>
    <w:sectPr>
      <w:headerReference w:type="default" r:id="rId9"/>
      <w:footerReference w:type="default" r:id="rId10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4748B"/>
        <w:sz w:val="18"/>
        <w:szCs w:val="18"/>
      </w:rPr>
      <w:t xml:space="preserve">Financial Management System Development Plan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4748B"/>
        <w:sz w:val="18"/>
        <w:szCs w:val="18"/>
      </w:rPr>
      <w:t xml:space="preserve">Global Financial Management System -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1B263B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2026-08-26T05:56:43.166Z</dcterms:created>
  <dcterms:modified xsi:type="dcterms:W3CDTF">2026-08-26T05:56:43.166Z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