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shd w:color="1B365D" w:val="clear"/>
            <w:vAlign w:val="top"/>
          </w:tcPr>
          <w:p>
            <w:pPr>
              <w:spacing w:after="0" w:before="2400"/>
              <w:jc w:val="center"/>
            </w:pPr>
            <w:r>
              <w:rPr>
                <w:rFonts w:ascii="Arial" w:cs="Arial" w:eastAsia="Arial" w:hAnsi="Arial"/>
                <w:b/>
                <w:bCs/>
                <w:color w:val="2E86AB"/>
                <w:sz w:val="48"/>
                <w:szCs w:val="48"/>
              </w:rPr>
              <w:t xml:space="preserve">NEXUS ERP</w:t>
            </w:r>
          </w:p>
          <w:p>
            <w:pPr>
              <w:spacing w:after="200" w:before="400"/>
              <w:jc w:val="center"/>
            </w:pPr>
            <w:r>
              <w:rPr>
                <w:rFonts w:ascii="Arial" w:cs="Arial" w:eastAsia="Arial" w:hAnsi="Arial"/>
                <w:b/>
                <w:bCs/>
                <w:color w:val="FFFFFF"/>
                <w:sz w:val="36"/>
                <w:szCs w:val="36"/>
              </w:rPr>
              <w:t xml:space="preserve">Global Inventory Management System</w:t>
            </w:r>
          </w:p>
          <w:p>
            <w:pPr>
              <w:spacing w:after="600" w:before="200"/>
              <w:jc w:val="center"/>
            </w:pPr>
            <w:r>
              <w:rPr>
                <w:rFonts w:ascii="Arial" w:cs="Arial" w:eastAsia="Arial" w:hAnsi="Arial"/>
                <w:color w:val="F8F9FA"/>
                <w:sz w:val="28"/>
                <w:szCs w:val="28"/>
              </w:rPr>
              <w:t xml:space="preserve">Comprehensive Development Plan &amp; Feature Roadmap</w:t>
            </w:r>
          </w:p>
          <w:p>
            <w:pPr>
              <w:spacing w:after="200" w:before="1200"/>
              <w:jc w:val="center"/>
            </w:pPr>
            <w:r>
              <w:rPr>
                <w:rFonts w:ascii="Arial" w:cs="Arial" w:eastAsia="Arial" w:hAnsi="Arial"/>
                <w:i/>
                <w:iCs/>
                <w:color w:val="2E86AB"/>
                <w:sz w:val="24"/>
                <w:szCs w:val="24"/>
              </w:rPr>
              <w:t xml:space="preserve">Enterprise-Grade Solution for Modern Supply Chain</w:t>
            </w:r>
          </w:p>
          <w:p>
            <w:pPr>
              <w:spacing w:after="200" w:before="2400"/>
              <w:jc w:val="center"/>
            </w:pPr>
            <w:r>
              <w:rPr>
                <w:rFonts w:ascii="Arial" w:cs="Arial" w:eastAsia="Arial" w:hAnsi="Arial"/>
                <w:color w:val="F8F9FA"/>
                <w:sz w:val="22"/>
                <w:szCs w:val="22"/>
              </w:rPr>
              <w:t xml:space="preserve">Version 2.0 | 2026</w:t>
            </w:r>
          </w:p>
          <w:p>
            <w:pPr>
              <w:spacing w:after="0" w:before="200"/>
              <w:jc w:val="center"/>
            </w:pPr>
            <w:r>
              <w:rPr>
                <w:rFonts w:ascii="Arial" w:cs="Arial" w:eastAsia="Arial" w:hAnsi="Arial"/>
                <w:color w:val="5D6D7E"/>
                <w:sz w:val="20"/>
                <w:szCs w:val="20"/>
              </w:rPr>
              <w:t xml:space="preserve">Based on Global Best Practices &amp; Industry Standards</w:t>
            </w:r>
          </w:p>
        </w:tc>
      </w:tr>
    </w:tbl>
    <w:p>
      <w:pPr>
        <w:sectPr>
          <w:pgSz w:w="11906" w:h="16838" w:orient="portrait"/>
          <w:pgMar w:top="0" w:right="0" w:bottom="0" w:left="0" w:header="708" w:footer="708" w:gutter="0"/>
          <w:pgNumType/>
          <w:docGrid w:linePitch="360"/>
        </w:sectPr>
      </w:pPr>
    </w:p>
    <w:p>
      <w:pPr>
        <w:spacing w:after="200" w:before="400"/>
      </w:pPr>
      <w:r>
        <w:rPr>
          <w:b/>
          <w:bCs/>
          <w:color w:val="1B365D"/>
          <w:sz w:val="32"/>
          <w:szCs w:val="32"/>
        </w:rPr>
        <w:t xml:space="preserve">Table of Contents</w:t>
      </w:r>
    </w:p>
    <w:sdt>
      <w:sdtPr>
        <w:alias w:val="Table of Contents"/>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System Analysis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Existing Capabilities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Identified Gaps &amp; Limitations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Comprehensive Feature Roadmap</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Real-Time Multi-Location Inventory Tracking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Advanced Warehouse Management (WMS)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AI-Powered Demand Forecasting</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3.4 Barcode &amp; RFID Integration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3.5 Batch &amp; Serial Number Traceability</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3.6 Multi-Currency &amp; Global Commerce Support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Technical Architecture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Scalable Microservices Architecture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Cloud-Native Infrastructure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Security &amp; Compliance Framework</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5. Implementation Phases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Phase 1: Foundation (Months 1-3)</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Phase 2: Intelligence (Months 4-6)</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Phase 3: Integration (Months 7-9)</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Phase 4: Optimization (Months 10-12)</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6. Success Metrics &amp; KPIs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7. Conclusion &amp; Recommendations</w:t>
            </w:r>
            <w:r>
              <w:tab/>
            </w:r>
            <w:r>
              <w:fldChar w:fldCharType="begin"/>
            </w:r>
            <w:r>
              <w:instrText xml:space="preserve"> PAGEREF _Toc100021 \h </w:instrText>
            </w:r>
            <w:r>
              <w:fldChar w:fldCharType="separate"/>
            </w:r>
            <w:r>
              <w:t>8</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00"/>
      </w:pPr>
      <w:bookmarkStart w:id="100000" w:name="_Toc100000"/>
      <w:r>
        <w:rPr>
          <w:rFonts w:ascii="Arial" w:eastAsia="SimHei"/>
          <w:b/>
          <w:bCs/>
          <w:color w:val="1B365D"/>
          <w:sz w:val="32"/>
          <w:szCs w:val="32"/>
        </w:rPr>
        <w:t xml:space="preserve">1. Executive Summary</w:t>
      </w:r>
      <w:bookmarkEnd w:id="100000"/>
    </w:p>
    <w:p>
      <w:pPr>
        <w:spacing w:after="200" w:line="312"/>
        <w:ind w:firstLine="480"/>
        <w:jc w:val="both"/>
      </w:pPr>
      <w:r>
        <w:rPr>
          <w:rFonts w:ascii="Times New Roman" w:eastAsia="SimSun"/>
          <w:color w:val="2C3E50"/>
          <w:sz w:val="24"/>
          <w:szCs w:val="24"/>
        </w:rPr>
        <w:t xml:space="preserve">This comprehensive development plan outlines the transformation of the Nexus ERP inventory management system into a world-class, enterprise-grade solution. The global inventory management software market is projected to reach $5.52 billion by 2034, exhibiting a CAGR of 9.13%. This plan addresses the critical need for modern businesses to have robust, scalable, and intelligent inventory management capabilities.</w:t>
      </w:r>
    </w:p>
    <w:p>
      <w:pPr>
        <w:spacing w:after="200" w:line="312"/>
        <w:ind w:firstLine="480"/>
        <w:jc w:val="both"/>
      </w:pPr>
      <w:r>
        <w:rPr>
          <w:rFonts w:ascii="Times New Roman" w:eastAsia="SimSun"/>
          <w:color w:val="2C3E50"/>
          <w:sz w:val="24"/>
          <w:szCs w:val="24"/>
        </w:rPr>
        <w:t xml:space="preserve">The proposed system will incorporate cutting-edge technologies including AI-powered demand forecasting, real-time multi-location tracking, RFID and barcode integration, advanced warehouse management features, and comprehensive analytics dashboards. This transformation will position Nexus ERP as a competitive solution in the global market, capable of serving enterprises of all sizes from SMBs to large multinational corporations.</w:t>
      </w:r>
    </w:p>
    <w:p>
      <w:pPr>
        <w:pStyle w:val="Heading1"/>
        <w:spacing w:after="200" w:before="400"/>
      </w:pPr>
      <w:bookmarkStart w:id="100001" w:name="_Toc100001"/>
      <w:r>
        <w:rPr>
          <w:rFonts w:ascii="Arial" w:eastAsia="SimHei"/>
          <w:b/>
          <w:bCs/>
          <w:color w:val="1B365D"/>
          <w:sz w:val="32"/>
          <w:szCs w:val="32"/>
        </w:rPr>
        <w:t xml:space="preserve">2. Current System Analysis</w:t>
      </w:r>
      <w:bookmarkEnd w:id="100001"/>
    </w:p>
    <w:p>
      <w:pPr>
        <w:pStyle w:val="Heading2"/>
        <w:spacing w:after="200" w:before="300"/>
      </w:pPr>
      <w:bookmarkStart w:id="100002" w:name="_Toc100002"/>
      <w:r>
        <w:rPr>
          <w:rFonts w:ascii="Arial" w:eastAsia="SimHei"/>
          <w:b/>
          <w:bCs/>
          <w:color w:val="1B365D"/>
          <w:sz w:val="28"/>
          <w:szCs w:val="28"/>
        </w:rPr>
        <w:t xml:space="preserve">2.1 Existing Capabilities</w:t>
      </w:r>
      <w:bookmarkEnd w:id="100002"/>
    </w:p>
    <w:p>
      <w:pPr>
        <w:spacing w:after="200" w:line="312"/>
        <w:ind w:firstLine="480"/>
        <w:jc w:val="both"/>
      </w:pPr>
      <w:r>
        <w:rPr>
          <w:rFonts w:ascii="Times New Roman" w:eastAsia="SimSun"/>
          <w:color w:val="2C3E50"/>
          <w:sz w:val="24"/>
          <w:szCs w:val="24"/>
        </w:rPr>
        <w:t xml:space="preserve">The current inventory management system provides fundamental functionality including basic product tracking with SKU management, simple stock level monitoring, category-based organization, status indicators (in-stock, low-stock, out-of-stock, overstock), warehouse location tracking, and basic search and filter capabilities. The system supports multiple languages through an i18n framework including Arabic (with RTL support), English, French, and Spanish.</w:t>
      </w:r>
    </w:p>
    <w:p>
      <w:pPr>
        <w:pStyle w:val="Heading2"/>
        <w:spacing w:after="200" w:before="300"/>
      </w:pPr>
      <w:bookmarkStart w:id="100003" w:name="_Toc100003"/>
      <w:r>
        <w:rPr>
          <w:rFonts w:ascii="Arial" w:eastAsia="SimHei"/>
          <w:b/>
          <w:bCs/>
          <w:color w:val="1B365D"/>
          <w:sz w:val="28"/>
          <w:szCs w:val="28"/>
        </w:rPr>
        <w:t xml:space="preserve">2.2 Identified Gaps &amp; Limitations</w:t>
      </w:r>
      <w:bookmarkEnd w:id="100003"/>
    </w:p>
    <w:p>
      <w:pPr>
        <w:spacing w:after="200" w:line="312"/>
        <w:ind w:firstLine="480"/>
        <w:jc w:val="both"/>
      </w:pPr>
      <w:r>
        <w:rPr>
          <w:rFonts w:ascii="Times New Roman" w:eastAsia="SimSun"/>
          <w:color w:val="2C3E50"/>
          <w:sz w:val="24"/>
          <w:szCs w:val="24"/>
        </w:rPr>
        <w:t xml:space="preserve">Through comprehensive analysis against global industry standards and best practices, several critical gaps have been identified that must be addressed to achieve world-class status:</w:t>
      </w:r>
    </w:p>
    <w:p>
      <w:pPr>
        <w:spacing w:after="120"/>
        <w:ind w:left="720"/>
      </w:pPr>
      <w:r>
        <w:rPr>
          <w:sz w:val="24"/>
          <w:szCs w:val="24"/>
        </w:rPr>
        <w:t xml:space="preserve">• </w:t>
      </w:r>
      <w:r>
        <w:rPr>
          <w:rFonts w:ascii="Times New Roman" w:eastAsia="SimSun"/>
          <w:color w:val="2C3E50"/>
          <w:sz w:val="24"/>
          <w:szCs w:val="24"/>
        </w:rPr>
        <w:t xml:space="preserve">Lack of real-time synchronization across multiple locations and warehouses</w:t>
      </w:r>
    </w:p>
    <w:p>
      <w:pPr>
        <w:spacing w:after="120"/>
        <w:ind w:left="720"/>
      </w:pPr>
      <w:r>
        <w:rPr>
          <w:sz w:val="24"/>
          <w:szCs w:val="24"/>
        </w:rPr>
        <w:t xml:space="preserve">• </w:t>
      </w:r>
      <w:r>
        <w:rPr>
          <w:rFonts w:ascii="Times New Roman" w:eastAsia="SimSun"/>
          <w:color w:val="2C3E50"/>
          <w:sz w:val="24"/>
          <w:szCs w:val="24"/>
        </w:rPr>
        <w:t xml:space="preserve">No barcode or RFID scanning integration for automated data capture</w:t>
      </w:r>
    </w:p>
    <w:p>
      <w:pPr>
        <w:spacing w:after="120"/>
        <w:ind w:left="720"/>
      </w:pPr>
      <w:r>
        <w:rPr>
          <w:sz w:val="24"/>
          <w:szCs w:val="24"/>
        </w:rPr>
        <w:t xml:space="preserve">• </w:t>
      </w:r>
      <w:r>
        <w:rPr>
          <w:rFonts w:ascii="Times New Roman" w:eastAsia="SimSun"/>
          <w:color w:val="2C3E50"/>
          <w:sz w:val="24"/>
          <w:szCs w:val="24"/>
        </w:rPr>
        <w:t xml:space="preserve">Absence of intelligent demand forecasting using AI/ML algorithms</w:t>
      </w:r>
    </w:p>
    <w:p>
      <w:pPr>
        <w:spacing w:after="120"/>
        <w:ind w:left="720"/>
      </w:pPr>
      <w:r>
        <w:rPr>
          <w:sz w:val="24"/>
          <w:szCs w:val="24"/>
        </w:rPr>
        <w:t xml:space="preserve">• </w:t>
      </w:r>
      <w:r>
        <w:rPr>
          <w:rFonts w:ascii="Times New Roman" w:eastAsia="SimSun"/>
          <w:color w:val="2C3E50"/>
          <w:sz w:val="24"/>
          <w:szCs w:val="24"/>
        </w:rPr>
        <w:t xml:space="preserve">Limited reporting and analytics capabilities</w:t>
      </w:r>
    </w:p>
    <w:p>
      <w:pPr>
        <w:spacing w:after="120"/>
        <w:ind w:left="720"/>
      </w:pPr>
      <w:r>
        <w:rPr>
          <w:sz w:val="24"/>
          <w:szCs w:val="24"/>
        </w:rPr>
        <w:t xml:space="preserve">• </w:t>
      </w:r>
      <w:r>
        <w:rPr>
          <w:rFonts w:ascii="Times New Roman" w:eastAsia="SimSun"/>
          <w:color w:val="2C3E50"/>
          <w:sz w:val="24"/>
          <w:szCs w:val="24"/>
        </w:rPr>
        <w:t xml:space="preserve">No batch or serial number tracking for traceability</w:t>
      </w:r>
    </w:p>
    <w:p>
      <w:pPr>
        <w:spacing w:after="120"/>
        <w:ind w:left="720"/>
      </w:pPr>
      <w:r>
        <w:rPr>
          <w:sz w:val="24"/>
          <w:szCs w:val="24"/>
        </w:rPr>
        <w:t xml:space="preserve">• </w:t>
      </w:r>
      <w:r>
        <w:rPr>
          <w:rFonts w:ascii="Times New Roman" w:eastAsia="SimSun"/>
          <w:color w:val="2C3E50"/>
          <w:sz w:val="24"/>
          <w:szCs w:val="24"/>
        </w:rPr>
        <w:t xml:space="preserve">Missing multi-currency support for global operations</w:t>
      </w:r>
    </w:p>
    <w:p>
      <w:pPr>
        <w:spacing w:after="120"/>
        <w:ind w:left="720"/>
      </w:pPr>
      <w:r>
        <w:rPr>
          <w:sz w:val="24"/>
          <w:szCs w:val="24"/>
        </w:rPr>
        <w:t xml:space="preserve">• </w:t>
      </w:r>
      <w:r>
        <w:rPr>
          <w:rFonts w:ascii="Times New Roman" w:eastAsia="SimSun"/>
          <w:color w:val="2C3E50"/>
          <w:sz w:val="24"/>
          <w:szCs w:val="24"/>
        </w:rPr>
        <w:t xml:space="preserve">No integration capabilities with external systems (ERP, e-commerce, shipping)</w:t>
      </w:r>
    </w:p>
    <w:p>
      <w:pPr>
        <w:spacing w:after="120"/>
        <w:ind w:left="720"/>
      </w:pPr>
      <w:r>
        <w:rPr>
          <w:sz w:val="24"/>
          <w:szCs w:val="24"/>
        </w:rPr>
        <w:t xml:space="preserve">• </w:t>
      </w:r>
      <w:r>
        <w:rPr>
          <w:rFonts w:ascii="Times New Roman" w:eastAsia="SimSun"/>
          <w:color w:val="2C3E50"/>
          <w:sz w:val="24"/>
          <w:szCs w:val="24"/>
        </w:rPr>
        <w:t xml:space="preserve">Basic reorder point logic without dynamic optimization</w:t>
      </w:r>
    </w:p>
    <w:p>
      <w:pPr>
        <w:spacing w:after="120"/>
        <w:ind w:left="720"/>
      </w:pPr>
      <w:r>
        <w:rPr>
          <w:sz w:val="24"/>
          <w:szCs w:val="24"/>
        </w:rPr>
        <w:t xml:space="preserve">• </w:t>
      </w:r>
      <w:r>
        <w:rPr>
          <w:rFonts w:ascii="Times New Roman" w:eastAsia="SimSun"/>
          <w:color w:val="2C3E50"/>
          <w:sz w:val="24"/>
          <w:szCs w:val="24"/>
        </w:rPr>
        <w:t xml:space="preserve">No mobile application for warehouse operations</w:t>
      </w:r>
    </w:p>
    <w:p>
      <w:pPr>
        <w:spacing w:after="120"/>
        <w:ind w:left="720"/>
      </w:pPr>
      <w:r>
        <w:rPr>
          <w:sz w:val="24"/>
          <w:szCs w:val="24"/>
        </w:rPr>
        <w:t xml:space="preserve">• </w:t>
      </w:r>
      <w:r>
        <w:rPr>
          <w:rFonts w:ascii="Times New Roman" w:eastAsia="SimSun"/>
          <w:color w:val="2C3E50"/>
          <w:sz w:val="24"/>
          <w:szCs w:val="24"/>
        </w:rPr>
        <w:t xml:space="preserve">Limited user role-based access control and audit trails</w:t>
      </w:r>
    </w:p>
    <w:p>
      <w:pPr>
        <w:pStyle w:val="Heading1"/>
        <w:spacing w:after="200" w:before="400"/>
      </w:pPr>
      <w:bookmarkStart w:id="100004" w:name="_Toc100004"/>
      <w:r>
        <w:rPr>
          <w:rFonts w:ascii="Arial" w:eastAsia="SimHei"/>
          <w:b/>
          <w:bCs/>
          <w:color w:val="1B365D"/>
          <w:sz w:val="32"/>
          <w:szCs w:val="32"/>
        </w:rPr>
        <w:t xml:space="preserve">3. Comprehensive Feature Roadmap</w:t>
      </w:r>
      <w:bookmarkEnd w:id="100004"/>
    </w:p>
    <w:p>
      <w:pPr>
        <w:pStyle w:val="Heading2"/>
        <w:spacing w:after="200" w:before="300"/>
      </w:pPr>
      <w:bookmarkStart w:id="100005" w:name="_Toc100005"/>
      <w:r>
        <w:rPr>
          <w:rFonts w:ascii="Arial" w:eastAsia="SimHei"/>
          <w:b/>
          <w:bCs/>
          <w:color w:val="1B365D"/>
          <w:sz w:val="28"/>
          <w:szCs w:val="28"/>
        </w:rPr>
        <w:t xml:space="preserve">3.1 Real-Time Multi-Location Inventory Tracking</w:t>
      </w:r>
      <w:bookmarkEnd w:id="100005"/>
    </w:p>
    <w:p>
      <w:pPr>
        <w:spacing w:after="200" w:line="312"/>
        <w:ind w:firstLine="480"/>
        <w:jc w:val="both"/>
      </w:pPr>
      <w:r>
        <w:rPr>
          <w:rFonts w:ascii="Times New Roman" w:eastAsia="SimSun"/>
          <w:color w:val="2C3E50"/>
          <w:sz w:val="24"/>
          <w:szCs w:val="24"/>
        </w:rPr>
        <w:t xml:space="preserve">The enhanced system will provide real-time visibility across unlimited warehouse locations, retail stores, and third-party logistics (3PL) providers. Each location will have independent stock tracking while maintaining consolidated views for enterprise-wide decision making. The system will support inter-location transfers with complete tracking, automatic stock allocation based on proximity to demand, and location-specific pricing and cost tracking.</w:t>
      </w:r>
    </w:p>
    <w:p>
      <w:pPr>
        <w:spacing w:after="200" w:line="312"/>
        <w:ind w:firstLine="480"/>
        <w:jc w:val="both"/>
      </w:pPr>
      <w:r>
        <w:rPr>
          <w:rFonts w:ascii="Times New Roman" w:eastAsia="SimSun"/>
          <w:color w:val="2C3E50"/>
          <w:sz w:val="24"/>
          <w:szCs w:val="24"/>
        </w:rPr>
        <w:t xml:space="preserve">Key technical implementations include WebSocket connections for live updates, conflict resolution mechanisms for simultaneous edits, offline mode support with automatic synchronization, and geolocation-based inventory queries. The architecture will support horizontal scaling to handle thousands of concurrent users across different time zones.</w:t>
      </w:r>
    </w:p>
    <w:p>
      <w:pPr>
        <w:pStyle w:val="Heading2"/>
        <w:spacing w:after="200" w:before="300"/>
      </w:pPr>
      <w:bookmarkStart w:id="100006" w:name="_Toc100006"/>
      <w:r>
        <w:rPr>
          <w:rFonts w:ascii="Arial" w:eastAsia="SimHei"/>
          <w:b/>
          <w:bCs/>
          <w:color w:val="1B365D"/>
          <w:sz w:val="28"/>
          <w:szCs w:val="28"/>
        </w:rPr>
        <w:t xml:space="preserve">3.2 Advanced Warehouse Management (WMS)</w:t>
      </w:r>
      <w:bookmarkEnd w:id="100006"/>
    </w:p>
    <w:p>
      <w:pPr>
        <w:spacing w:after="200" w:line="312"/>
        <w:ind w:firstLine="480"/>
        <w:jc w:val="both"/>
      </w:pPr>
      <w:r>
        <w:rPr>
          <w:rFonts w:ascii="Times New Roman" w:eastAsia="SimSun"/>
          <w:color w:val="2C3E50"/>
          <w:sz w:val="24"/>
          <w:szCs w:val="24"/>
        </w:rPr>
        <w:t xml:space="preserve">A full-featured Warehouse Management System module will be integrated, providing license plating for efficient handling of grouped items, zone and bin management with optimized pick paths, wave picking and batch processing capabilities, packing and label printing with customizable templates, and cross-docking functionality for rapid throughput.</w:t>
      </w:r>
    </w:p>
    <w:p>
      <w:pPr>
        <w:spacing w:after="200" w:line="312"/>
        <w:ind w:firstLine="480"/>
        <w:jc w:val="both"/>
      </w:pPr>
      <w:r>
        <w:rPr>
          <w:rFonts w:ascii="Times New Roman" w:eastAsia="SimSun"/>
          <w:color w:val="2C3E50"/>
          <w:sz w:val="24"/>
          <w:szCs w:val="24"/>
        </w:rPr>
        <w:t xml:space="preserve">The WMS will implement FIFO (First-In-First-Out) and FEFO (First-Expired-First-Out) algorithms for perishable goods management, cycle counting programs with ABC analysis integration, labor management with productivity tracking, and yard management for external container tracking. These features align with industry-leading solutions like SAP WMS and Manhattan Associates.</w:t>
      </w:r>
    </w:p>
    <w:p>
      <w:pPr>
        <w:pStyle w:val="Heading2"/>
        <w:spacing w:after="200" w:before="300"/>
      </w:pPr>
      <w:bookmarkStart w:id="100007" w:name="_Toc100007"/>
      <w:r>
        <w:rPr>
          <w:rFonts w:ascii="Arial" w:eastAsia="SimHei"/>
          <w:b/>
          <w:bCs/>
          <w:color w:val="1B365D"/>
          <w:sz w:val="28"/>
          <w:szCs w:val="28"/>
        </w:rPr>
        <w:t xml:space="preserve">3.3 AI-Powered Demand Forecasting</w:t>
      </w:r>
      <w:bookmarkEnd w:id="100007"/>
    </w:p>
    <w:p>
      <w:pPr>
        <w:spacing w:after="200" w:line="312"/>
        <w:ind w:firstLine="480"/>
        <w:jc w:val="both"/>
      </w:pPr>
      <w:r>
        <w:rPr>
          <w:rFonts w:ascii="Times New Roman" w:eastAsia="SimSun"/>
          <w:color w:val="2C3E50"/>
          <w:sz w:val="24"/>
          <w:szCs w:val="24"/>
        </w:rPr>
        <w:t xml:space="preserve">Machine learning algorithms will be implemented to transform inventory planning from reactive to predictive. The system will utilize LSTM (Long Short-Term Memory) neural networks for time-series forecasting, Gradient Boosting Machines (GBM) for pattern recognition, and ensemble methods combining multiple models for improved accuracy.</w:t>
      </w:r>
    </w:p>
    <w:p>
      <w:pPr>
        <w:spacing w:after="200" w:line="312"/>
        <w:ind w:firstLine="480"/>
        <w:jc w:val="both"/>
      </w:pPr>
      <w:r>
        <w:rPr>
          <w:rFonts w:ascii="Times New Roman" w:eastAsia="SimSun"/>
          <w:color w:val="2C3E50"/>
          <w:sz w:val="24"/>
          <w:szCs w:val="24"/>
        </w:rPr>
        <w:t xml:space="preserve">External factors such as seasonal trends, promotional campaigns, economic indicators, weather patterns, and social media sentiment will be incorporated into forecasting models. The system will automatically adjust safety stock levels, optimize reorder points, and generate purchase recommendations based on predicted demand with confidence intervals.</w:t>
      </w:r>
    </w:p>
    <w:p>
      <w:pPr>
        <w:pStyle w:val="Heading2"/>
        <w:spacing w:after="200" w:before="300"/>
      </w:pPr>
      <w:bookmarkStart w:id="100008" w:name="_Toc100008"/>
      <w:r>
        <w:rPr>
          <w:rFonts w:ascii="Arial" w:eastAsia="SimHei"/>
          <w:b/>
          <w:bCs/>
          <w:color w:val="1B365D"/>
          <w:sz w:val="28"/>
          <w:szCs w:val="28"/>
        </w:rPr>
        <w:t xml:space="preserve">3.4 Barcode &amp; RFID Integration</w:t>
      </w:r>
      <w:bookmarkEnd w:id="100008"/>
    </w:p>
    <w:p>
      <w:pPr>
        <w:spacing w:after="200" w:line="312"/>
        <w:ind w:firstLine="480"/>
        <w:jc w:val="both"/>
      </w:pPr>
      <w:r>
        <w:rPr>
          <w:rFonts w:ascii="Times New Roman" w:eastAsia="SimSun"/>
          <w:color w:val="2C3E50"/>
          <w:sz w:val="24"/>
          <w:szCs w:val="24"/>
        </w:rPr>
        <w:t xml:space="preserve">Complete support for automatic identification and data capture (AIDC) technologies will be implemented. This includes barcode generation in multiple formats (UPC, EAN, Code128, QR codes), RFID tag encoding and reading integration, mobile device scanning via camera or dedicated scanners, bulk scanning for rapid receiving and cycle counting, and real-time location tracking using RFID readers with up to 10-meter range.</w:t>
      </w:r>
    </w:p>
    <w:p>
      <w:pPr>
        <w:spacing w:after="200" w:line="312"/>
        <w:ind w:firstLine="480"/>
        <w:jc w:val="both"/>
      </w:pPr>
      <w:r>
        <w:rPr>
          <w:rFonts w:ascii="Times New Roman" w:eastAsia="SimSun"/>
          <w:color w:val="2C3E50"/>
          <w:sz w:val="24"/>
          <w:szCs w:val="24"/>
        </w:rPr>
        <w:t xml:space="preserve">The integration will support major hardware vendors' SDKs and provide APIs for custom integrations. Error correction and validation will ensure data accuracy, reducing human error in manual entry by up to 95% according to industry benchmarks.</w:t>
      </w:r>
    </w:p>
    <w:p>
      <w:pPr>
        <w:pStyle w:val="Heading2"/>
        <w:spacing w:after="200" w:before="300"/>
      </w:pPr>
      <w:bookmarkStart w:id="100009" w:name="_Toc100009"/>
      <w:r>
        <w:rPr>
          <w:rFonts w:ascii="Arial" w:eastAsia="SimHei"/>
          <w:b/>
          <w:bCs/>
          <w:color w:val="1B365D"/>
          <w:sz w:val="28"/>
          <w:szCs w:val="28"/>
        </w:rPr>
        <w:t xml:space="preserve">3.5 Batch &amp; Serial Number Traceability</w:t>
      </w:r>
      <w:bookmarkEnd w:id="100009"/>
    </w:p>
    <w:p>
      <w:pPr>
        <w:spacing w:after="200" w:line="312"/>
        <w:ind w:firstLine="480"/>
        <w:jc w:val="both"/>
      </w:pPr>
      <w:r>
        <w:rPr>
          <w:rFonts w:ascii="Times New Roman" w:eastAsia="SimSun"/>
          <w:color w:val="2C3E50"/>
          <w:sz w:val="24"/>
          <w:szCs w:val="24"/>
        </w:rPr>
        <w:t xml:space="preserve">Complete traceability from receipt to dispatch will enable compliance with regulatory requirements and quality management standards. Each item can be tracked by batch lot, serial number, or both. The system maintains complete genealogy showing which items were received together, stored together, and shipped together.</w:t>
      </w:r>
    </w:p>
    <w:p>
      <w:pPr>
        <w:spacing w:after="200" w:line="312"/>
        <w:ind w:firstLine="480"/>
        <w:jc w:val="both"/>
      </w:pPr>
      <w:r>
        <w:rPr>
          <w:rFonts w:ascii="Times New Roman" w:eastAsia="SimSun"/>
          <w:color w:val="2C3E50"/>
          <w:sz w:val="24"/>
          <w:szCs w:val="24"/>
        </w:rPr>
        <w:t xml:space="preserve">Recall management functionality allows instant identification of affected items when quality issues arise. Expiry date tracking with automated alerts prevents spoilage. Certificate of Analysis (CoA) storage and retrieval supports quality documentation requirements for regulated industries.</w:t>
      </w:r>
    </w:p>
    <w:p>
      <w:pPr>
        <w:pStyle w:val="Heading2"/>
        <w:spacing w:after="200" w:before="300"/>
      </w:pPr>
      <w:bookmarkStart w:id="100010" w:name="_Toc100010"/>
      <w:r>
        <w:rPr>
          <w:rFonts w:ascii="Arial" w:eastAsia="SimHei"/>
          <w:b/>
          <w:bCs/>
          <w:color w:val="1B365D"/>
          <w:sz w:val="28"/>
          <w:szCs w:val="28"/>
        </w:rPr>
        <w:t xml:space="preserve">3.6 Multi-Currency &amp; Global Commerce Support</w:t>
      </w:r>
      <w:bookmarkEnd w:id="100010"/>
    </w:p>
    <w:p>
      <w:pPr>
        <w:spacing w:after="200" w:line="312"/>
        <w:ind w:firstLine="480"/>
        <w:jc w:val="both"/>
      </w:pPr>
      <w:r>
        <w:rPr>
          <w:rFonts w:ascii="Times New Roman" w:eastAsia="SimSun"/>
          <w:color w:val="2C3E50"/>
          <w:sz w:val="24"/>
          <w:szCs w:val="24"/>
        </w:rPr>
        <w:t xml:space="preserve">True multi-currency support enables global operations with automatic currency conversion using real-time exchange rates. Each warehouse can operate in its local currency while consolidating to a reporting currency for enterprise financials. Landed cost tracking includes freight, duties, insurance, and other import costs allocated appropriately.</w:t>
      </w:r>
    </w:p>
    <w:p>
      <w:pPr>
        <w:spacing w:after="200" w:line="312"/>
        <w:ind w:firstLine="480"/>
        <w:jc w:val="both"/>
      </w:pPr>
      <w:r>
        <w:rPr>
          <w:rFonts w:ascii="Times New Roman" w:eastAsia="SimSun"/>
          <w:color w:val="2C3E50"/>
          <w:sz w:val="24"/>
          <w:szCs w:val="24"/>
        </w:rPr>
        <w:t xml:space="preserve">Multi-language support extends beyond UI translations to include localized formats for dates, numbers, addresses, and tax calculations. Tax engine integration handles VAT, GST, sales tax, and other regional requirements with automatic rate updates.</w:t>
      </w:r>
    </w:p>
    <w:p>
      <w:pPr>
        <w:pStyle w:val="Heading1"/>
        <w:spacing w:after="200" w:before="400"/>
      </w:pPr>
      <w:bookmarkStart w:id="100011" w:name="_Toc100011"/>
      <w:r>
        <w:rPr>
          <w:rFonts w:ascii="Arial" w:eastAsia="SimHei"/>
          <w:b/>
          <w:bCs/>
          <w:color w:val="1B365D"/>
          <w:sz w:val="32"/>
          <w:szCs w:val="32"/>
        </w:rPr>
        <w:t xml:space="preserve">4. Technical Architecture</w:t>
      </w:r>
      <w:bookmarkEnd w:id="100011"/>
    </w:p>
    <w:p>
      <w:pPr>
        <w:pStyle w:val="Heading2"/>
        <w:spacing w:after="200" w:before="300"/>
      </w:pPr>
      <w:bookmarkStart w:id="100012" w:name="_Toc100012"/>
      <w:r>
        <w:rPr>
          <w:rFonts w:ascii="Arial" w:eastAsia="SimHei"/>
          <w:b/>
          <w:bCs/>
          <w:color w:val="1B365D"/>
          <w:sz w:val="28"/>
          <w:szCs w:val="28"/>
        </w:rPr>
        <w:t xml:space="preserve">4.1 Scalable Microservices Architecture</w:t>
      </w:r>
      <w:bookmarkEnd w:id="100012"/>
    </w:p>
    <w:p>
      <w:pPr>
        <w:spacing w:after="200" w:line="312"/>
        <w:ind w:firstLine="480"/>
        <w:jc w:val="both"/>
      </w:pPr>
      <w:r>
        <w:rPr>
          <w:rFonts w:ascii="Times New Roman" w:eastAsia="SimSun"/>
          <w:color w:val="2C3E50"/>
          <w:sz w:val="24"/>
          <w:szCs w:val="24"/>
        </w:rPr>
        <w:t xml:space="preserve">The system will be architected as a collection of loosely coupled microservices, each responsible for specific business capabilities. Core services include Inventory Core Service (product master, stock levels, movements), Location Service (warehouses, zones, bins, addresses), Transaction Service (receipts, issues, transfers, adjustments), Forecasting Service (AI/ML models, predictions, recommendations), Integration Service (API gateway, webhooks, EDI), and Reporting Service (analytics, dashboards, exports).</w:t>
      </w:r>
    </w:p>
    <w:p>
      <w:pPr>
        <w:spacing w:after="200" w:line="312"/>
        <w:ind w:firstLine="480"/>
        <w:jc w:val="both"/>
      </w:pPr>
      <w:r>
        <w:rPr>
          <w:rFonts w:ascii="Times New Roman" w:eastAsia="SimSun"/>
          <w:color w:val="2C3E50"/>
          <w:sz w:val="24"/>
          <w:szCs w:val="24"/>
        </w:rPr>
        <w:t xml:space="preserve">Event-driven architecture using message queues ensures reliable communication between services and enables event sourcing for complete audit trails. Database per service pattern allows technology selection optimized for each service's needs - relational databases for transactional consistency, document stores for flexible schemas, time-series databases for historical data, and graph databases for relationship queries.</w:t>
      </w:r>
    </w:p>
    <w:p>
      <w:pPr>
        <w:pStyle w:val="Heading2"/>
        <w:spacing w:after="200" w:before="300"/>
      </w:pPr>
      <w:bookmarkStart w:id="100013" w:name="_Toc100013"/>
      <w:r>
        <w:rPr>
          <w:rFonts w:ascii="Arial" w:eastAsia="SimHei"/>
          <w:b/>
          <w:bCs/>
          <w:color w:val="1B365D"/>
          <w:sz w:val="28"/>
          <w:szCs w:val="28"/>
        </w:rPr>
        <w:t xml:space="preserve">4.2 Cloud-Native Infrastructure</w:t>
      </w:r>
      <w:bookmarkEnd w:id="100013"/>
    </w:p>
    <w:p>
      <w:pPr>
        <w:spacing w:after="200" w:line="312"/>
        <w:ind w:firstLine="480"/>
        <w:jc w:val="both"/>
      </w:pPr>
      <w:r>
        <w:rPr>
          <w:rFonts w:ascii="Times New Roman" w:eastAsia="SimSun"/>
          <w:color w:val="2C3E50"/>
          <w:sz w:val="24"/>
          <w:szCs w:val="24"/>
        </w:rPr>
        <w:t xml:space="preserve">Containerized deployment using Docker and orchestration with Kubernetes enables elastic scaling based on demand. Multi-region deployment options support data residency requirements and reduce latency for global operations. Infrastructure as Code (IaC) using Terraform ensures consistent, repeatable deployments across development, staging, and production environments.</w:t>
      </w:r>
    </w:p>
    <w:p>
      <w:pPr>
        <w:spacing w:after="200" w:line="312"/>
        <w:ind w:firstLine="480"/>
        <w:jc w:val="both"/>
      </w:pPr>
      <w:r>
        <w:rPr>
          <w:rFonts w:ascii="Times New Roman" w:eastAsia="SimSun"/>
          <w:color w:val="2C3E50"/>
          <w:sz w:val="24"/>
          <w:szCs w:val="24"/>
        </w:rPr>
        <w:t xml:space="preserve">Managed cloud services will be utilized where appropriate, including managed databases (Amazon RDS, Cloud SQL), object storage for documents and images (S3, Cloud Storage), caching layers for performance (Redis, ElastiCache), and message queues for async processing (SQS, Pub/Sub). This approach reduces operational overhead while maintaining reliability and scalability.</w:t>
      </w:r>
    </w:p>
    <w:p>
      <w:pPr>
        <w:pStyle w:val="Heading2"/>
        <w:spacing w:after="200" w:before="300"/>
      </w:pPr>
      <w:bookmarkStart w:id="100014" w:name="_Toc100014"/>
      <w:r>
        <w:rPr>
          <w:rFonts w:ascii="Arial" w:eastAsia="SimHei"/>
          <w:b/>
          <w:bCs/>
          <w:color w:val="1B365D"/>
          <w:sz w:val="28"/>
          <w:szCs w:val="28"/>
        </w:rPr>
        <w:t xml:space="preserve">4.3 Security &amp; Compliance Framework</w:t>
      </w:r>
      <w:bookmarkEnd w:id="100014"/>
    </w:p>
    <w:p>
      <w:pPr>
        <w:spacing w:after="200" w:line="312"/>
        <w:ind w:firstLine="480"/>
        <w:jc w:val="both"/>
      </w:pPr>
      <w:r>
        <w:rPr>
          <w:rFonts w:ascii="Times New Roman" w:eastAsia="SimSun"/>
          <w:color w:val="2C3E50"/>
          <w:sz w:val="24"/>
          <w:szCs w:val="24"/>
        </w:rPr>
        <w:t xml:space="preserve">Enterprise-grade security implementation includes Role-Based Access Control (RBAC) with fine-grained permissions, Multi-Factor Authentication (MFA) support, encryption at rest using AES-256 and in transit using TLS 1.3, complete audit logging of all user actions, and SOC 2 Type II compliance controls. Data protection features support GDPR, CCPA, and other privacy regulations with data masking, retention policies, and right-to-deletion capabilities.</w:t>
      </w:r>
    </w:p>
    <w:p>
      <w:pPr>
        <w:spacing w:after="200" w:line="312"/>
        <w:ind w:firstLine="480"/>
        <w:jc w:val="both"/>
      </w:pPr>
      <w:r>
        <w:rPr>
          <w:rFonts w:ascii="Times New Roman" w:eastAsia="SimSun"/>
          <w:color w:val="2C3E50"/>
          <w:sz w:val="24"/>
          <w:szCs w:val="24"/>
        </w:rPr>
        <w:t xml:space="preserve">Penetration testing and vulnerability assessments will be conducted regularly. Security information and event management (SIEM) integration provides centralized monitoring. Backup and disaster recovery procedures ensure business continuity with defined RPO (Recovery Point Objective) and RTO (Recovery Time Objective) targets.</w:t>
      </w:r>
    </w:p>
    <w:p>
      <w:pPr>
        <w:pStyle w:val="Heading1"/>
        <w:spacing w:after="200" w:before="400"/>
      </w:pPr>
      <w:bookmarkStart w:id="100015" w:name="_Toc100015"/>
      <w:r>
        <w:rPr>
          <w:rFonts w:ascii="Arial" w:eastAsia="SimHei"/>
          <w:b/>
          <w:bCs/>
          <w:color w:val="1B365D"/>
          <w:sz w:val="32"/>
          <w:szCs w:val="32"/>
        </w:rPr>
        <w:t xml:space="preserve">5. Implementation Phases</w:t>
      </w:r>
      <w:bookmarkEnd w:id="100015"/>
    </w:p>
    <w:p>
      <w:pPr>
        <w:pStyle w:val="Heading2"/>
        <w:spacing w:after="200" w:before="300"/>
      </w:pPr>
      <w:bookmarkStart w:id="100016" w:name="_Toc100016"/>
      <w:r>
        <w:rPr>
          <w:rFonts w:ascii="Arial" w:eastAsia="SimHei"/>
          <w:b/>
          <w:bCs/>
          <w:color w:val="1B365D"/>
          <w:sz w:val="28"/>
          <w:szCs w:val="28"/>
        </w:rPr>
        <w:t xml:space="preserve">Phase 1: Foundation (Months 1-3)</w:t>
      </w:r>
      <w:bookmarkEnd w:id="100016"/>
    </w:p>
    <w:p>
      <w:pPr>
        <w:spacing w:after="200" w:line="312"/>
        <w:ind w:firstLine="480"/>
        <w:jc w:val="both"/>
      </w:pPr>
      <w:r>
        <w:rPr>
          <w:rFonts w:ascii="Times New Roman" w:eastAsia="SimSun"/>
          <w:color w:val="2C3E50"/>
          <w:sz w:val="24"/>
          <w:szCs w:val="24"/>
        </w:rPr>
        <w:t xml:space="preserve">The foundation phase establishes core infrastructure and essential enhancements. Key deliverables include database schema redesign supporting new features, RESTful API development following OpenAPI standards, authentication and authorization framework implementation, basic multi-location support with manual synchronization, and barcode generation and printing capabilities. This phase focuses on building solid technical foundations while delivering immediate value to users.</w:t>
      </w:r>
    </w:p>
    <w:p>
      <w:pPr>
        <w:pStyle w:val="Heading2"/>
        <w:spacing w:after="200" w:before="300"/>
      </w:pPr>
      <w:bookmarkStart w:id="100017" w:name="_Toc100017"/>
      <w:r>
        <w:rPr>
          <w:rFonts w:ascii="Arial" w:eastAsia="SimHei"/>
          <w:b/>
          <w:bCs/>
          <w:color w:val="1B365D"/>
          <w:sz w:val="28"/>
          <w:szCs w:val="28"/>
        </w:rPr>
        <w:t xml:space="preserve">Phase 2: Intelligence (Months 4-6)</w:t>
      </w:r>
      <w:bookmarkEnd w:id="100017"/>
    </w:p>
    <w:p>
      <w:pPr>
        <w:spacing w:after="200" w:line="312"/>
        <w:ind w:firstLine="480"/>
        <w:jc w:val="both"/>
      </w:pPr>
      <w:r>
        <w:rPr>
          <w:rFonts w:ascii="Times New Roman" w:eastAsia="SimSun"/>
          <w:color w:val="2C3E50"/>
          <w:sz w:val="24"/>
          <w:szCs w:val="24"/>
        </w:rPr>
        <w:t xml:space="preserve">The intelligence phase introduces AI/ML capabilities and advanced tracking. Deliverables include demand forecasting model training and deployment, batch and serial number tracking implementation, RFID integration with pilot hardware, advanced analytics dashboard development, and automated reorder point optimization. User acceptance testing ensures features meet business requirements before broad rollout.</w:t>
      </w:r>
    </w:p>
    <w:p>
      <w:pPr>
        <w:pStyle w:val="Heading2"/>
        <w:spacing w:after="200" w:before="300"/>
      </w:pPr>
      <w:bookmarkStart w:id="100018" w:name="_Toc100018"/>
      <w:r>
        <w:rPr>
          <w:rFonts w:ascii="Arial" w:eastAsia="SimHei"/>
          <w:b/>
          <w:bCs/>
          <w:color w:val="1B365D"/>
          <w:sz w:val="28"/>
          <w:szCs w:val="28"/>
        </w:rPr>
        <w:t xml:space="preserve">Phase 3: Integration (Months 7-9)</w:t>
      </w:r>
      <w:bookmarkEnd w:id="100018"/>
    </w:p>
    <w:p>
      <w:pPr>
        <w:spacing w:after="200" w:line="312"/>
        <w:ind w:firstLine="480"/>
        <w:jc w:val="both"/>
      </w:pPr>
      <w:r>
        <w:rPr>
          <w:rFonts w:ascii="Times New Roman" w:eastAsia="SimSun"/>
          <w:color w:val="2C3E50"/>
          <w:sz w:val="24"/>
          <w:szCs w:val="24"/>
        </w:rPr>
        <w:t xml:space="preserve">The integration phase connects the inventory system with external ecosystems. Key work includes e-commerce platform integrations (Shopify, Magento, WooCommerce), shipping carrier APIs (FedEx, UPS, DHL), accounting system synchronization (QuickBooks, Xero, SAP), EDI capability for B2B transactions, and public API for customer and partner integrations. Webhook infrastructure enables real-time notifications to connected systems.</w:t>
      </w:r>
    </w:p>
    <w:p>
      <w:pPr>
        <w:pStyle w:val="Heading2"/>
        <w:spacing w:after="200" w:before="300"/>
      </w:pPr>
      <w:bookmarkStart w:id="100019" w:name="_Toc100019"/>
      <w:r>
        <w:rPr>
          <w:rFonts w:ascii="Arial" w:eastAsia="SimHei"/>
          <w:b/>
          <w:bCs/>
          <w:color w:val="1B365D"/>
          <w:sz w:val="28"/>
          <w:szCs w:val="28"/>
        </w:rPr>
        <w:t xml:space="preserve">Phase 4: Optimization (Months 10-12)</w:t>
      </w:r>
      <w:bookmarkEnd w:id="100019"/>
    </w:p>
    <w:p>
      <w:pPr>
        <w:spacing w:after="200" w:line="312"/>
        <w:ind w:firstLine="480"/>
        <w:jc w:val="both"/>
      </w:pPr>
      <w:r>
        <w:rPr>
          <w:rFonts w:ascii="Times New Roman" w:eastAsia="SimSun"/>
          <w:color w:val="2C3E50"/>
          <w:sz w:val="24"/>
          <w:szCs w:val="24"/>
        </w:rPr>
        <w:t xml:space="preserve">The optimization phase refines and scales the system based on operational experience. Focus areas include performance tuning and query optimization, mobile application launch for iOS and Android, advanced reporting with scheduled distributions, workflow automation engine implementation, and machine learning model retraining pipelines. Customer feedback drives prioritization of enhancement requests.</w:t>
      </w:r>
    </w:p>
    <w:p>
      <w:pPr>
        <w:pStyle w:val="Heading1"/>
        <w:spacing w:after="200" w:before="400"/>
      </w:pPr>
      <w:bookmarkStart w:id="100020" w:name="_Toc100020"/>
      <w:r>
        <w:rPr>
          <w:rFonts w:ascii="Arial" w:eastAsia="SimHei"/>
          <w:b/>
          <w:bCs/>
          <w:color w:val="1B365D"/>
          <w:sz w:val="32"/>
          <w:szCs w:val="32"/>
        </w:rPr>
        <w:t xml:space="preserve">6. Success Metrics &amp; KPIs</w:t>
      </w:r>
      <w:bookmarkEnd w:id="100020"/>
    </w:p>
    <w:p>
      <w:pPr>
        <w:spacing w:after="200" w:line="312"/>
        <w:ind w:firstLine="480"/>
        <w:jc w:val="both"/>
      </w:pPr>
      <w:r>
        <w:rPr>
          <w:rFonts w:ascii="Times New Roman" w:eastAsia="SimSun"/>
          <w:color w:val="2C3E50"/>
          <w:sz w:val="24"/>
          <w:szCs w:val="24"/>
        </w:rPr>
        <w:t xml:space="preserve">Measurable outcomes will track the success of the implementation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65D" w:val="clear"/>
          </w:tcPr>
          <w:p>
            <w:pPr>
              <w:jc w:val="center"/>
            </w:pPr>
            <w:r>
              <w:rPr>
                <w:b/>
                <w:bCs/>
                <w:color w:val="FFFFFF"/>
                <w:sz w:val="22"/>
                <w:szCs w:val="22"/>
              </w:rPr>
              <w:t xml:space="preserve">Metric Category</w:t>
            </w:r>
          </w:p>
        </w:tc>
        <w:tc>
          <w:tcPr>
            <w:shd w:color="1B365D" w:val="clear"/>
          </w:tcPr>
          <w:p>
            <w:pPr>
              <w:jc w:val="center"/>
            </w:pPr>
            <w:r>
              <w:rPr>
                <w:b/>
                <w:bCs/>
                <w:color w:val="FFFFFF"/>
                <w:sz w:val="22"/>
                <w:szCs w:val="22"/>
              </w:rPr>
              <w:t xml:space="preserve">Key Performance Indicator</w:t>
            </w:r>
          </w:p>
        </w:tc>
        <w:tc>
          <w:tcPr>
            <w:shd w:color="1B365D" w:val="clear"/>
          </w:tcPr>
          <w:p>
            <w:pPr>
              <w:jc w:val="center"/>
            </w:pPr>
            <w:r>
              <w:rPr>
                <w:b/>
                <w:bCs/>
                <w:color w:val="FFFFFF"/>
                <w:sz w:val="22"/>
                <w:szCs w:val="22"/>
              </w:rPr>
              <w:t xml:space="preserve">Target Value</w:t>
            </w:r>
          </w:p>
        </w:tc>
      </w:tr>
      <w:tr>
        <w:tc>
          <w:p>
            <w:r>
              <w:rPr>
                <w:sz w:val="22"/>
                <w:szCs w:val="22"/>
              </w:rPr>
              <w:t xml:space="preserve">Accuracy</w:t>
            </w:r>
          </w:p>
        </w:tc>
        <w:tc>
          <w:p>
            <w:r>
              <w:rPr>
                <w:sz w:val="22"/>
                <w:szCs w:val="22"/>
              </w:rPr>
              <w:t xml:space="preserve">Inventory Accuracy Rate</w:t>
            </w:r>
          </w:p>
        </w:tc>
        <w:tc>
          <w:p>
            <w:pPr>
              <w:jc w:val="center"/>
            </w:pPr>
            <w:r>
              <w:rPr>
                <w:color w:val="2E86AB"/>
                <w:sz w:val="22"/>
                <w:szCs w:val="22"/>
              </w:rPr>
              <w:t xml:space="preserve">&gt;99.5%</w:t>
            </w:r>
          </w:p>
        </w:tc>
      </w:tr>
      <w:tr>
        <w:tc>
          <w:p>
            <w:r>
              <w:rPr>
                <w:sz w:val="22"/>
                <w:szCs w:val="22"/>
              </w:rPr>
              <w:t xml:space="preserve">Efficiency</w:t>
            </w:r>
          </w:p>
        </w:tc>
        <w:tc>
          <w:p>
            <w:r>
              <w:rPr>
                <w:sz w:val="22"/>
                <w:szCs w:val="22"/>
              </w:rPr>
              <w:t xml:space="preserve">Picking Accuracy</w:t>
            </w:r>
          </w:p>
        </w:tc>
        <w:tc>
          <w:p>
            <w:pPr>
              <w:jc w:val="center"/>
            </w:pPr>
            <w:r>
              <w:rPr>
                <w:color w:val="2E86AB"/>
                <w:sz w:val="22"/>
                <w:szCs w:val="22"/>
              </w:rPr>
              <w:t xml:space="preserve">&gt;99.9%</w:t>
            </w:r>
          </w:p>
        </w:tc>
      </w:tr>
      <w:tr>
        <w:tc>
          <w:p>
            <w:r>
              <w:rPr>
                <w:sz w:val="22"/>
                <w:szCs w:val="22"/>
              </w:rPr>
              <w:t xml:space="preserve">Forecasting</w:t>
            </w:r>
          </w:p>
        </w:tc>
        <w:tc>
          <w:p>
            <w:r>
              <w:rPr>
                <w:sz w:val="22"/>
                <w:szCs w:val="22"/>
              </w:rPr>
              <w:t xml:space="preserve">Demand Prediction Accuracy</w:t>
            </w:r>
          </w:p>
        </w:tc>
        <w:tc>
          <w:p>
            <w:pPr>
              <w:jc w:val="center"/>
            </w:pPr>
            <w:r>
              <w:rPr>
                <w:color w:val="2E86AB"/>
                <w:sz w:val="22"/>
                <w:szCs w:val="22"/>
              </w:rPr>
              <w:t xml:space="preserve">&gt;90%</w:t>
            </w:r>
          </w:p>
        </w:tc>
      </w:tr>
      <w:tr>
        <w:tc>
          <w:p>
            <w:r>
              <w:rPr>
                <w:sz w:val="22"/>
                <w:szCs w:val="22"/>
              </w:rPr>
              <w:t xml:space="preserve">Availability</w:t>
            </w:r>
          </w:p>
        </w:tc>
        <w:tc>
          <w:p>
            <w:r>
              <w:rPr>
                <w:sz w:val="22"/>
                <w:szCs w:val="22"/>
              </w:rPr>
              <w:t xml:space="preserve">System Uptime SLA</w:t>
            </w:r>
          </w:p>
        </w:tc>
        <w:tc>
          <w:p>
            <w:pPr>
              <w:jc w:val="center"/>
            </w:pPr>
            <w:r>
              <w:rPr>
                <w:color w:val="2E86AB"/>
                <w:sz w:val="22"/>
                <w:szCs w:val="22"/>
              </w:rPr>
              <w:t xml:space="preserve">99.95%</w:t>
            </w:r>
          </w:p>
        </w:tc>
      </w:tr>
      <w:tr>
        <w:tc>
          <w:p>
            <w:r>
              <w:rPr>
                <w:sz w:val="22"/>
                <w:szCs w:val="22"/>
              </w:rPr>
              <w:t xml:space="preserve">Performance</w:t>
            </w:r>
          </w:p>
        </w:tc>
        <w:tc>
          <w:p>
            <w:r>
              <w:rPr>
                <w:sz w:val="22"/>
                <w:szCs w:val="22"/>
              </w:rPr>
              <w:t xml:space="preserve">API Response Time (p95)</w:t>
            </w:r>
          </w:p>
        </w:tc>
        <w:tc>
          <w:p>
            <w:pPr>
              <w:jc w:val="center"/>
            </w:pPr>
            <w:r>
              <w:rPr>
                <w:color w:val="2E86AB"/>
                <w:sz w:val="22"/>
                <w:szCs w:val="22"/>
              </w:rPr>
              <w:t xml:space="preserve">&lt;200ms</w:t>
            </w:r>
          </w:p>
        </w:tc>
      </w:tr>
    </w:tbl>
    <w:p>
      <w:pPr>
        <w:spacing w:before="200"/>
      </w:pPr>
    </w:p>
    <w:p>
      <w:pPr>
        <w:pStyle w:val="Heading1"/>
        <w:spacing w:after="200" w:before="400"/>
      </w:pPr>
      <w:bookmarkStart w:id="100021" w:name="_Toc100021"/>
      <w:r>
        <w:rPr>
          <w:rFonts w:ascii="Arial" w:eastAsia="SimHei"/>
          <w:b/>
          <w:bCs/>
          <w:color w:val="1B365D"/>
          <w:sz w:val="32"/>
          <w:szCs w:val="32"/>
        </w:rPr>
        <w:t xml:space="preserve">7. Conclusion &amp; Recommendations</w:t>
      </w:r>
      <w:bookmarkEnd w:id="100021"/>
    </w:p>
    <w:p>
      <w:pPr>
        <w:spacing w:after="200" w:line="312"/>
        <w:ind w:firstLine="480"/>
        <w:jc w:val="both"/>
      </w:pPr>
      <w:r>
        <w:rPr>
          <w:rFonts w:ascii="Times New Roman" w:eastAsia="SimSun"/>
          <w:color w:val="2C3E50"/>
          <w:sz w:val="24"/>
          <w:szCs w:val="24"/>
        </w:rPr>
        <w:t xml:space="preserve">This development plan transforms the Nexus ERP inventory management system into a globally competitive solution aligned with enterprise requirements and industry best practices. The phased approach balances quick wins with long-term strategic objectives, ensuring continuous value delivery throughout the implementation journey.</w:t>
      </w:r>
    </w:p>
    <w:p>
      <w:pPr>
        <w:spacing w:after="200" w:line="312"/>
        <w:ind w:firstLine="480"/>
        <w:jc w:val="both"/>
      </w:pPr>
      <w:r>
        <w:rPr>
          <w:rFonts w:ascii="Times New Roman" w:eastAsia="SimSun"/>
          <w:color w:val="2C3E50"/>
          <w:sz w:val="24"/>
          <w:szCs w:val="24"/>
        </w:rPr>
        <w:t xml:space="preserve">Success depends on executive sponsorship, adequate resource allocation, and commitment to user-centric design principles. Regular review cycles should assess progress against milestones and adapt plans based on emerging requirements and technological advances. Investment in this system positions the organization for scalable growth and operational excellence in an increasingly complex global supply chain environment.</w:t>
      </w:r>
    </w:p>
    <w:p>
      <w:pPr>
        <w:spacing w:after="200" w:line="312"/>
        <w:ind w:firstLine="480"/>
        <w:jc w:val="both"/>
      </w:pPr>
      <w:r>
        <w:rPr>
          <w:rFonts w:ascii="Times New Roman" w:eastAsia="SimSun"/>
          <w:color w:val="2C3E50"/>
          <w:sz w:val="24"/>
          <w:szCs w:val="24"/>
        </w:rPr>
        <w:t xml:space="preserve">Immediate next steps include stakeholder alignment on priorities, detailed sprint planning for Phase 1, infrastructure provisioning and team mobilization, and establishment of governance processes for decision-making. With focused execution, the vision of a world-class inventory management system can become reality within the planned timeline.</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2026-08-26T05:40:39.054Z</dcterms:created>
  <dcterms:modified xsi:type="dcterms:W3CDTF">2026-08-26T05:40:39.054Z</dcterms:modified>
</cp:coreProperties>
</file>

<file path=docProps/custom.xml><?xml version="1.0" encoding="utf-8"?>
<Properties xmlns="http://schemas.openxmlformats.org/officeDocument/2006/custom-properties" xmlns:vt="http://schemas.openxmlformats.org/officeDocument/2006/docPropsVTypes"/>
</file>