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2878" w14:textId="77777777" w:rsidR="003F7240" w:rsidRPr="00C9781D" w:rsidRDefault="003F7240" w:rsidP="003F7240">
      <w:pPr>
        <w:pStyle w:val="Heading1"/>
        <w:rPr>
          <w:rFonts w:ascii="Arial" w:hAnsi="Arial" w:cs="Arial"/>
          <w:sz w:val="24"/>
          <w:szCs w:val="24"/>
        </w:rPr>
      </w:pPr>
      <w:bookmarkStart w:id="0" w:name="_Toc199255664"/>
      <w:r w:rsidRPr="00C9781D">
        <w:rPr>
          <w:rFonts w:ascii="Arial" w:hAnsi="Arial" w:cs="Arial"/>
          <w:sz w:val="24"/>
          <w:szCs w:val="24"/>
        </w:rPr>
        <w:t>Part III. Control and Traceability</w:t>
      </w:r>
      <w:bookmarkEnd w:id="0"/>
      <w:r w:rsidRPr="00C9781D">
        <w:rPr>
          <w:rFonts w:ascii="Arial" w:hAnsi="Arial" w:cs="Arial"/>
          <w:sz w:val="24"/>
          <w:szCs w:val="24"/>
        </w:rPr>
        <w:t xml:space="preserve">  </w:t>
      </w:r>
    </w:p>
    <w:p w14:paraId="395B509F" w14:textId="77777777" w:rsidR="003F7240" w:rsidRPr="00C9781D" w:rsidRDefault="003F7240" w:rsidP="003F7240">
      <w:pPr>
        <w:pStyle w:val="Heading2"/>
        <w:rPr>
          <w:rFonts w:ascii="Arial" w:hAnsi="Arial" w:cs="Arial"/>
          <w:sz w:val="24"/>
          <w:szCs w:val="24"/>
        </w:rPr>
      </w:pPr>
      <w:bookmarkStart w:id="1" w:name="_Toc199255665"/>
      <w:r w:rsidRPr="00C9781D">
        <w:rPr>
          <w:rFonts w:ascii="Arial" w:hAnsi="Arial" w:cs="Arial"/>
          <w:sz w:val="24"/>
          <w:szCs w:val="24"/>
        </w:rPr>
        <w:t>III.I. Internal</w:t>
      </w:r>
      <w:bookmarkEnd w:id="1"/>
      <w:r w:rsidRPr="00C9781D">
        <w:rPr>
          <w:rFonts w:ascii="Arial" w:hAnsi="Arial" w:cs="Arial"/>
          <w:sz w:val="24"/>
          <w:szCs w:val="24"/>
        </w:rPr>
        <w:t xml:space="preserve">  </w:t>
      </w:r>
    </w:p>
    <w:p w14:paraId="7F30B31B" w14:textId="77777777" w:rsidR="003F7240" w:rsidRPr="00C9781D" w:rsidRDefault="003F7240" w:rsidP="003F7240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C9781D">
        <w:rPr>
          <w:rFonts w:ascii="Arial" w:eastAsia="Arial" w:hAnsi="Arial" w:cs="Arial"/>
          <w:sz w:val="24"/>
          <w:szCs w:val="24"/>
        </w:rPr>
        <w:t>All coffee growers should be registered to Batangas Coffee Farmers Federation (</w:t>
      </w:r>
      <w:proofErr w:type="spellStart"/>
      <w:r w:rsidRPr="00C9781D">
        <w:rPr>
          <w:rFonts w:ascii="Arial" w:eastAsia="Arial" w:hAnsi="Arial" w:cs="Arial"/>
          <w:sz w:val="24"/>
          <w:szCs w:val="24"/>
        </w:rPr>
        <w:t>BaCoFFed</w:t>
      </w:r>
      <w:proofErr w:type="spellEnd"/>
      <w:r w:rsidRPr="00C9781D">
        <w:rPr>
          <w:rFonts w:ascii="Arial" w:eastAsia="Arial" w:hAnsi="Arial" w:cs="Arial"/>
          <w:sz w:val="24"/>
          <w:szCs w:val="24"/>
        </w:rPr>
        <w:t>).</w:t>
      </w:r>
    </w:p>
    <w:p w14:paraId="0A5420BA" w14:textId="77777777" w:rsidR="003F7240" w:rsidRPr="00C9781D" w:rsidRDefault="003F7240" w:rsidP="003F7240">
      <w:pPr>
        <w:pStyle w:val="Heading2"/>
        <w:rPr>
          <w:rFonts w:ascii="Arial" w:hAnsi="Arial" w:cs="Arial"/>
          <w:sz w:val="24"/>
          <w:szCs w:val="24"/>
        </w:rPr>
      </w:pPr>
      <w:bookmarkStart w:id="2" w:name="_Toc199255666"/>
      <w:r w:rsidRPr="00C9781D">
        <w:rPr>
          <w:rFonts w:ascii="Arial" w:hAnsi="Arial" w:cs="Arial"/>
          <w:sz w:val="24"/>
          <w:szCs w:val="24"/>
        </w:rPr>
        <w:t>III.II. Traceability</w:t>
      </w:r>
      <w:bookmarkEnd w:id="2"/>
    </w:p>
    <w:p w14:paraId="58783418" w14:textId="77777777" w:rsidR="003F7240" w:rsidRPr="00C9781D" w:rsidRDefault="003F7240" w:rsidP="003F7240">
      <w:pPr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C9781D">
        <w:rPr>
          <w:rFonts w:ascii="Arial" w:eastAsia="Arial" w:hAnsi="Arial" w:cs="Arial"/>
          <w:sz w:val="24"/>
          <w:szCs w:val="24"/>
        </w:rPr>
        <w:t xml:space="preserve">Provincial Technical Working Group and Batangas Coffee Farmers Federation will maintain the records and control compliant to Code of Practice. </w:t>
      </w:r>
    </w:p>
    <w:p w14:paraId="16736339" w14:textId="77777777" w:rsidR="003F7240" w:rsidRPr="00C9781D" w:rsidRDefault="003F7240" w:rsidP="003F7240">
      <w:pPr>
        <w:pStyle w:val="Heading1"/>
        <w:rPr>
          <w:rFonts w:ascii="Arial" w:hAnsi="Arial" w:cs="Arial"/>
          <w:sz w:val="24"/>
          <w:szCs w:val="24"/>
        </w:rPr>
      </w:pPr>
      <w:bookmarkStart w:id="3" w:name="_Toc199255667"/>
      <w:r w:rsidRPr="00C9781D">
        <w:rPr>
          <w:rFonts w:ascii="Arial" w:hAnsi="Arial" w:cs="Arial"/>
          <w:sz w:val="24"/>
          <w:szCs w:val="24"/>
        </w:rPr>
        <w:t>Part IV. Labelling</w:t>
      </w:r>
      <w:bookmarkEnd w:id="3"/>
      <w:r w:rsidRPr="00C9781D">
        <w:rPr>
          <w:rFonts w:ascii="Arial" w:hAnsi="Arial" w:cs="Arial"/>
          <w:sz w:val="24"/>
          <w:szCs w:val="24"/>
        </w:rPr>
        <w:t xml:space="preserve"> </w:t>
      </w:r>
    </w:p>
    <w:p w14:paraId="63B247C3" w14:textId="77777777" w:rsidR="003F7240" w:rsidRPr="00C9781D" w:rsidRDefault="003F7240" w:rsidP="003F7240">
      <w:pPr>
        <w:spacing w:before="160" w:after="300" w:line="276" w:lineRule="auto"/>
        <w:ind w:left="1020"/>
        <w:rPr>
          <w:rFonts w:ascii="Arial" w:eastAsia="Arial" w:hAnsi="Arial" w:cs="Arial"/>
          <w:color w:val="000000"/>
          <w:sz w:val="24"/>
          <w:szCs w:val="24"/>
        </w:rPr>
      </w:pPr>
      <w:r w:rsidRPr="00C9781D">
        <w:rPr>
          <w:rFonts w:ascii="Arial" w:eastAsia="Arial" w:hAnsi="Arial" w:cs="Arial"/>
          <w:color w:val="000000"/>
          <w:sz w:val="24"/>
          <w:szCs w:val="24"/>
        </w:rPr>
        <w:t xml:space="preserve">The Batangas </w:t>
      </w:r>
      <w:proofErr w:type="spellStart"/>
      <w:r w:rsidRPr="00C9781D">
        <w:rPr>
          <w:rFonts w:ascii="Arial" w:eastAsia="Arial" w:hAnsi="Arial" w:cs="Arial"/>
          <w:color w:val="000000"/>
          <w:sz w:val="24"/>
          <w:szCs w:val="24"/>
        </w:rPr>
        <w:t>Kapeng</w:t>
      </w:r>
      <w:proofErr w:type="spellEnd"/>
      <w:r w:rsidRPr="00C9781D">
        <w:rPr>
          <w:rFonts w:ascii="Arial" w:eastAsia="Arial" w:hAnsi="Arial" w:cs="Arial"/>
          <w:color w:val="000000"/>
          <w:sz w:val="24"/>
          <w:szCs w:val="24"/>
        </w:rPr>
        <w:t xml:space="preserve"> Barako will have a distinct seal.  Only producers who comply with the specifications contained in the Code of Practice shall be allowed to use the seal.</w:t>
      </w:r>
    </w:p>
    <w:p w14:paraId="43EDA336" w14:textId="77777777" w:rsidR="007F3BD8" w:rsidRDefault="007F3BD8"/>
    <w:sectPr w:rsidR="007F3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40"/>
    <w:rsid w:val="00090B06"/>
    <w:rsid w:val="003F7240"/>
    <w:rsid w:val="005D5CE4"/>
    <w:rsid w:val="007E758E"/>
    <w:rsid w:val="007F3BD8"/>
    <w:rsid w:val="007F42C4"/>
    <w:rsid w:val="00EA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05184"/>
  <w15:chartTrackingRefBased/>
  <w15:docId w15:val="{BBFFF203-7E6D-E74D-9349-5E4AB7C4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24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4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4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4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4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4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24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24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A. Maynete</dc:creator>
  <cp:keywords/>
  <dc:description/>
  <cp:lastModifiedBy>Ericka A. Maynete</cp:lastModifiedBy>
  <cp:revision>1</cp:revision>
  <dcterms:created xsi:type="dcterms:W3CDTF">2026-07-24T14:08:00Z</dcterms:created>
  <dcterms:modified xsi:type="dcterms:W3CDTF">2026-07-24T14:09:00Z</dcterms:modified>
</cp:coreProperties>
</file>