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phase1-entity</w:t>
      </w:r>
    </w:p>
    <w:p>
      <w:r>
        <w:t>Completeness tier: 100 percent</w:t>
      </w:r>
    </w:p>
    <w:p/>
    <w:p>
      <w:r>
        <w:t>Applicant Entity.</w:t>
      </w:r>
    </w:p>
    <w:p>
      <w:r>
        <w:t>Producers Organization.</w:t>
      </w:r>
    </w:p>
    <w:p>
      <w:r>
        <w:t>Legal Standing.</w:t>
      </w:r>
    </w:p>
    <w:p>
      <w:r>
        <w:t>Membership List.</w:t>
      </w:r>
    </w:p>
    <w:p>
      <w:r>
        <w:t>LGU.</w:t>
      </w:r>
    </w:p>
    <w:p>
      <w:r>
        <w:t>Certificates.</w:t>
      </w:r>
    </w:p>
    <w:p>
      <w:r>
        <w:t>Bylaws.</w:t>
      </w:r>
    </w:p>
    <w:p>
      <w:r>
        <w:t>Organization Structure.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